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00" w:firstLineChars="200"/>
        <w:jc w:val="center"/>
        <w:rPr>
          <w:rFonts w:ascii="方正小标宋_GBK" w:eastAsia="方正小标宋_GBK"/>
          <w:sz w:val="40"/>
        </w:rPr>
      </w:pPr>
    </w:p>
    <w:p>
      <w:pPr>
        <w:spacing w:line="560" w:lineRule="exact"/>
        <w:ind w:firstLine="800" w:firstLineChars="200"/>
        <w:jc w:val="center"/>
        <w:rPr>
          <w:rFonts w:ascii="方正小标宋_GBK" w:eastAsia="方正小标宋_GBK"/>
          <w:sz w:val="40"/>
        </w:rPr>
      </w:pPr>
    </w:p>
    <w:p>
      <w:pPr>
        <w:spacing w:line="560" w:lineRule="exact"/>
        <w:ind w:firstLine="800" w:firstLineChars="200"/>
        <w:jc w:val="center"/>
        <w:rPr>
          <w:rFonts w:ascii="方正小标宋_GBK" w:eastAsia="方正小标宋_GBK"/>
          <w:sz w:val="40"/>
        </w:rPr>
      </w:pPr>
    </w:p>
    <w:p>
      <w:pPr>
        <w:spacing w:line="560" w:lineRule="exact"/>
        <w:ind w:firstLine="800" w:firstLineChars="200"/>
        <w:jc w:val="center"/>
        <w:rPr>
          <w:rFonts w:hint="eastAsia" w:ascii="方正小标宋简体" w:hAnsi="方正小标宋简体" w:eastAsia="方正小标宋简体" w:cs="方正小标宋简体"/>
          <w:sz w:val="40"/>
        </w:rPr>
      </w:pPr>
      <w:r>
        <w:rPr>
          <w:rFonts w:hint="eastAsia" w:ascii="方正小标宋简体" w:hAnsi="方正小标宋简体" w:eastAsia="方正小标宋简体" w:cs="方正小标宋简体"/>
          <w:sz w:val="40"/>
        </w:rPr>
        <w:t>普通高等学校本科教育教学审核评估</w:t>
      </w:r>
    </w:p>
    <w:p>
      <w:pPr>
        <w:spacing w:line="560" w:lineRule="exact"/>
        <w:ind w:firstLine="800" w:firstLineChars="200"/>
        <w:jc w:val="center"/>
        <w:rPr>
          <w:rFonts w:ascii="方正小标宋_GBK" w:eastAsia="方正小标宋_GBK"/>
          <w:sz w:val="40"/>
        </w:rPr>
      </w:pPr>
      <w:r>
        <w:rPr>
          <w:rFonts w:hint="eastAsia" w:ascii="方正小标宋简体" w:hAnsi="方正小标宋简体" w:eastAsia="方正小标宋简体" w:cs="方正小标宋简体"/>
          <w:sz w:val="40"/>
        </w:rPr>
        <w:t>学院自评报告</w:t>
      </w:r>
    </w:p>
    <w:p>
      <w:pPr>
        <w:spacing w:line="560" w:lineRule="exact"/>
        <w:ind w:firstLine="800" w:firstLineChars="200"/>
        <w:jc w:val="center"/>
        <w:rPr>
          <w:rFonts w:ascii="方正小标宋_GBK" w:eastAsia="方正小标宋_GBK"/>
          <w:sz w:val="40"/>
        </w:rPr>
      </w:pPr>
    </w:p>
    <w:p>
      <w:pPr>
        <w:spacing w:line="560" w:lineRule="exact"/>
        <w:ind w:firstLine="640" w:firstLineChars="200"/>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（第一类）</w:t>
      </w:r>
    </w:p>
    <w:p>
      <w:pPr>
        <w:spacing w:line="560" w:lineRule="exact"/>
        <w:ind w:firstLine="640" w:firstLineChars="200"/>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可以插入学院LOGO</w:t>
      </w: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640" w:firstLineChars="200"/>
        <w:jc w:val="center"/>
        <w:rPr>
          <w:rFonts w:ascii="方正小标宋_GBK" w:eastAsia="方正小标宋_GBK"/>
          <w:sz w:val="32"/>
        </w:rPr>
      </w:pPr>
    </w:p>
    <w:p>
      <w:pPr>
        <w:spacing w:line="560" w:lineRule="exact"/>
        <w:ind w:firstLine="1417" w:firstLineChars="443"/>
        <w:jc w:val="left"/>
        <w:rPr>
          <w:rFonts w:hint="default" w:ascii="方正小标宋简体" w:hAnsi="方正小标宋简体" w:eastAsia="方正小标宋简体" w:cs="方正小标宋简体"/>
          <w:sz w:val="32"/>
          <w:u w:val="single"/>
          <w:lang w:val="en-US" w:eastAsia="zh-CN"/>
        </w:rPr>
      </w:pPr>
      <w:r>
        <w:rPr>
          <w:rFonts w:hint="eastAsia" w:ascii="方正小标宋简体" w:hAnsi="方正小标宋简体" w:eastAsia="方正小标宋简体" w:cs="方正小标宋简体"/>
          <w:sz w:val="32"/>
        </w:rPr>
        <w:t>学院名称（公章）：</w:t>
      </w:r>
      <w:r>
        <w:rPr>
          <w:rFonts w:hint="eastAsia" w:ascii="方正小标宋简体" w:hAnsi="方正小标宋简体" w:eastAsia="方正小标宋简体" w:cs="方正小标宋简体"/>
          <w:sz w:val="32"/>
          <w:u w:val="single"/>
          <w:lang w:val="en-US" w:eastAsia="zh-CN"/>
        </w:rPr>
        <w:t xml:space="preserve">                 </w:t>
      </w:r>
    </w:p>
    <w:p>
      <w:pPr>
        <w:spacing w:line="560" w:lineRule="exact"/>
        <w:ind w:firstLine="1417" w:firstLineChars="443"/>
        <w:jc w:val="left"/>
        <w:rPr>
          <w:rFonts w:hint="default" w:ascii="方正小标宋简体" w:hAnsi="方正小标宋简体" w:eastAsia="方正小标宋简体" w:cs="方正小标宋简体"/>
          <w:sz w:val="32"/>
          <w:lang w:val="en-US"/>
        </w:rPr>
      </w:pPr>
      <w:r>
        <w:rPr>
          <w:rFonts w:hint="eastAsia" w:ascii="方正小标宋简体" w:hAnsi="方正小标宋简体" w:eastAsia="方正小标宋简体" w:cs="方正小标宋简体"/>
          <w:sz w:val="32"/>
        </w:rPr>
        <w:t>学院联系人：</w:t>
      </w:r>
      <w:r>
        <w:rPr>
          <w:rFonts w:hint="eastAsia" w:ascii="方正小标宋简体" w:hAnsi="方正小标宋简体" w:eastAsia="方正小标宋简体" w:cs="方正小标宋简体"/>
          <w:sz w:val="32"/>
          <w:u w:val="single"/>
          <w:lang w:val="en-US" w:eastAsia="zh-CN"/>
        </w:rPr>
        <w:t xml:space="preserve">                      </w:t>
      </w:r>
    </w:p>
    <w:p>
      <w:pPr>
        <w:spacing w:line="560" w:lineRule="exact"/>
        <w:ind w:firstLine="1417" w:firstLineChars="443"/>
        <w:jc w:val="left"/>
        <w:rPr>
          <w:rFonts w:hint="default" w:ascii="方正小标宋简体" w:hAnsi="方正小标宋简体" w:eastAsia="方正小标宋简体" w:cs="方正小标宋简体"/>
          <w:sz w:val="32"/>
          <w:lang w:val="en-US"/>
        </w:rPr>
      </w:pPr>
      <w:r>
        <w:rPr>
          <w:rFonts w:hint="eastAsia" w:ascii="方正小标宋简体" w:hAnsi="方正小标宋简体" w:eastAsia="方正小标宋简体" w:cs="方正小标宋简体"/>
          <w:sz w:val="32"/>
        </w:rPr>
        <w:t>联</w:t>
      </w:r>
      <w:r>
        <w:rPr>
          <w:rFonts w:hint="eastAsia" w:ascii="方正小标宋简体" w:hAnsi="方正小标宋简体" w:eastAsia="方正小标宋简体" w:cs="方正小标宋简体"/>
          <w:sz w:val="32"/>
          <w:lang w:val="en-US" w:eastAsia="zh-CN"/>
        </w:rPr>
        <w:t xml:space="preserve"> </w:t>
      </w:r>
      <w:r>
        <w:rPr>
          <w:rFonts w:hint="eastAsia" w:ascii="方正小标宋简体" w:hAnsi="方正小标宋简体" w:eastAsia="方正小标宋简体" w:cs="方正小标宋简体"/>
          <w:sz w:val="32"/>
        </w:rPr>
        <w:t>系</w:t>
      </w:r>
      <w:r>
        <w:rPr>
          <w:rFonts w:hint="eastAsia" w:ascii="方正小标宋简体" w:hAnsi="方正小标宋简体" w:eastAsia="方正小标宋简体" w:cs="方正小标宋简体"/>
          <w:sz w:val="32"/>
          <w:lang w:val="en-US" w:eastAsia="zh-CN"/>
        </w:rPr>
        <w:t xml:space="preserve"> </w:t>
      </w:r>
      <w:r>
        <w:rPr>
          <w:rFonts w:hint="eastAsia" w:ascii="方正小标宋简体" w:hAnsi="方正小标宋简体" w:eastAsia="方正小标宋简体" w:cs="方正小标宋简体"/>
          <w:sz w:val="32"/>
        </w:rPr>
        <w:t>电</w:t>
      </w:r>
      <w:r>
        <w:rPr>
          <w:rFonts w:hint="eastAsia" w:ascii="方正小标宋简体" w:hAnsi="方正小标宋简体" w:eastAsia="方正小标宋简体" w:cs="方正小标宋简体"/>
          <w:sz w:val="32"/>
          <w:lang w:val="en-US" w:eastAsia="zh-CN"/>
        </w:rPr>
        <w:t xml:space="preserve"> </w:t>
      </w:r>
      <w:r>
        <w:rPr>
          <w:rFonts w:hint="eastAsia" w:ascii="方正小标宋简体" w:hAnsi="方正小标宋简体" w:eastAsia="方正小标宋简体" w:cs="方正小标宋简体"/>
          <w:sz w:val="32"/>
        </w:rPr>
        <w:t>话：</w:t>
      </w:r>
      <w:r>
        <w:rPr>
          <w:rFonts w:hint="eastAsia" w:ascii="方正小标宋简体" w:hAnsi="方正小标宋简体" w:eastAsia="方正小标宋简体" w:cs="方正小标宋简体"/>
          <w:sz w:val="32"/>
          <w:u w:val="single"/>
          <w:lang w:val="en-US" w:eastAsia="zh-CN"/>
        </w:rPr>
        <w:t xml:space="preserve">                     </w:t>
      </w:r>
    </w:p>
    <w:p>
      <w:pPr>
        <w:spacing w:line="560" w:lineRule="exact"/>
        <w:ind w:firstLine="1417" w:firstLineChars="443"/>
        <w:jc w:val="left"/>
        <w:rPr>
          <w:rFonts w:hint="default" w:ascii="方正小标宋简体" w:hAnsi="方正小标宋简体" w:eastAsia="方正小标宋简体" w:cs="方正小标宋简体"/>
          <w:sz w:val="32"/>
          <w:lang w:val="en-US"/>
        </w:rPr>
      </w:pPr>
      <w:r>
        <w:rPr>
          <w:rFonts w:hint="eastAsia" w:ascii="方正小标宋简体" w:hAnsi="方正小标宋简体" w:eastAsia="方正小标宋简体" w:cs="方正小标宋简体"/>
          <w:sz w:val="32"/>
        </w:rPr>
        <w:t>院长（签字）：</w:t>
      </w:r>
      <w:r>
        <w:rPr>
          <w:rFonts w:hint="eastAsia" w:ascii="方正小标宋简体" w:hAnsi="方正小标宋简体" w:eastAsia="方正小标宋简体" w:cs="方正小标宋简体"/>
          <w:sz w:val="32"/>
          <w:u w:val="single"/>
          <w:lang w:val="en-US" w:eastAsia="zh-CN"/>
        </w:rPr>
        <w:t xml:space="preserve">                     </w:t>
      </w:r>
    </w:p>
    <w:p>
      <w:pPr>
        <w:spacing w:line="560" w:lineRule="exact"/>
        <w:ind w:firstLine="1417" w:firstLineChars="443"/>
        <w:jc w:val="left"/>
        <w:rPr>
          <w:rFonts w:hint="default" w:ascii="方正小标宋_GBK" w:eastAsia="方正小标宋_GBK"/>
          <w:sz w:val="32"/>
          <w:lang w:val="en-US"/>
        </w:rPr>
      </w:pPr>
      <w:r>
        <w:rPr>
          <w:rFonts w:hint="eastAsia" w:ascii="方正小标宋简体" w:hAnsi="方正小标宋简体" w:eastAsia="方正小标宋简体" w:cs="方正小标宋简体"/>
          <w:sz w:val="32"/>
        </w:rPr>
        <w:t>提</w:t>
      </w:r>
      <w:r>
        <w:rPr>
          <w:rFonts w:hint="eastAsia" w:ascii="方正小标宋简体" w:hAnsi="方正小标宋简体" w:eastAsia="方正小标宋简体" w:cs="方正小标宋简体"/>
          <w:sz w:val="32"/>
          <w:lang w:val="en-US" w:eastAsia="zh-CN"/>
        </w:rPr>
        <w:t xml:space="preserve"> </w:t>
      </w:r>
      <w:r>
        <w:rPr>
          <w:rFonts w:hint="eastAsia" w:ascii="方正小标宋简体" w:hAnsi="方正小标宋简体" w:eastAsia="方正小标宋简体" w:cs="方正小标宋简体"/>
          <w:sz w:val="32"/>
        </w:rPr>
        <w:t>交</w:t>
      </w:r>
      <w:r>
        <w:rPr>
          <w:rFonts w:hint="eastAsia" w:ascii="方正小标宋简体" w:hAnsi="方正小标宋简体" w:eastAsia="方正小标宋简体" w:cs="方正小标宋简体"/>
          <w:sz w:val="32"/>
          <w:lang w:val="en-US" w:eastAsia="zh-CN"/>
        </w:rPr>
        <w:t xml:space="preserve"> </w:t>
      </w:r>
      <w:r>
        <w:rPr>
          <w:rFonts w:hint="eastAsia" w:ascii="方正小标宋简体" w:hAnsi="方正小标宋简体" w:eastAsia="方正小标宋简体" w:cs="方正小标宋简体"/>
          <w:sz w:val="32"/>
        </w:rPr>
        <w:t>日</w:t>
      </w:r>
      <w:r>
        <w:rPr>
          <w:rFonts w:hint="eastAsia" w:ascii="方正小标宋简体" w:hAnsi="方正小标宋简体" w:eastAsia="方正小标宋简体" w:cs="方正小标宋简体"/>
          <w:sz w:val="32"/>
          <w:lang w:val="en-US" w:eastAsia="zh-CN"/>
        </w:rPr>
        <w:t xml:space="preserve"> </w:t>
      </w:r>
      <w:r>
        <w:rPr>
          <w:rFonts w:hint="eastAsia" w:ascii="方正小标宋简体" w:hAnsi="方正小标宋简体" w:eastAsia="方正小标宋简体" w:cs="方正小标宋简体"/>
          <w:sz w:val="32"/>
        </w:rPr>
        <w:t>期：</w:t>
      </w:r>
      <w:r>
        <w:rPr>
          <w:rFonts w:hint="eastAsia" w:ascii="方正小标宋简体" w:hAnsi="方正小标宋简体" w:eastAsia="方正小标宋简体" w:cs="方正小标宋简体"/>
          <w:sz w:val="32"/>
          <w:u w:val="single"/>
          <w:lang w:val="en-US" w:eastAsia="zh-CN"/>
        </w:rPr>
        <w:t xml:space="preserve">                     </w:t>
      </w:r>
    </w:p>
    <w:p>
      <w:pPr>
        <w:rPr>
          <w:rFonts w:ascii="方正小标宋_GBK" w:eastAsia="方正小标宋_GBK"/>
          <w:sz w:val="32"/>
        </w:rPr>
      </w:pPr>
      <w:r>
        <w:rPr>
          <w:rFonts w:ascii="方正小标宋_GBK" w:eastAsia="方正小标宋_GBK"/>
          <w:sz w:val="32"/>
        </w:rPr>
        <w:br w:type="page"/>
      </w:r>
    </w:p>
    <w:p>
      <w:pPr>
        <w:spacing w:line="560" w:lineRule="exact"/>
        <w:ind w:firstLine="723" w:firstLineChars="200"/>
        <w:jc w:val="center"/>
        <w:rPr>
          <w:rFonts w:hint="eastAsia" w:ascii="仿宋_GB2312" w:eastAsia="仿宋_GB2312"/>
          <w:b/>
          <w:sz w:val="36"/>
        </w:rPr>
      </w:pPr>
    </w:p>
    <w:p>
      <w:pPr>
        <w:spacing w:line="560" w:lineRule="exact"/>
        <w:ind w:firstLine="723" w:firstLineChars="200"/>
        <w:jc w:val="center"/>
        <w:rPr>
          <w:rFonts w:ascii="仿宋_GB2312" w:eastAsia="仿宋_GB2312"/>
          <w:b/>
          <w:sz w:val="36"/>
        </w:rPr>
      </w:pPr>
      <w:r>
        <w:rPr>
          <w:rFonts w:hint="eastAsia" w:ascii="仿宋_GB2312" w:eastAsia="仿宋_GB2312"/>
          <w:b/>
          <w:sz w:val="36"/>
        </w:rPr>
        <w:t>撰写说明</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1</w:t>
      </w:r>
      <w:r>
        <w:rPr>
          <w:rFonts w:hint="eastAsia" w:ascii="仿宋_GB2312" w:eastAsia="仿宋_GB2312"/>
          <w:sz w:val="32"/>
        </w:rPr>
        <w:t>.学院应按照本科教育教学审核评估指标体系撰写自评报告。</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2</w:t>
      </w:r>
      <w:r>
        <w:rPr>
          <w:rFonts w:hint="eastAsia" w:ascii="仿宋_GB2312" w:eastAsia="仿宋_GB2312"/>
          <w:sz w:val="32"/>
        </w:rPr>
        <w:t>.本</w:t>
      </w:r>
      <w:r>
        <w:rPr>
          <w:rFonts w:hint="eastAsia" w:ascii="仿宋_GB2312" w:eastAsia="仿宋_GB2312"/>
          <w:sz w:val="32"/>
          <w:lang w:val="en-US" w:eastAsia="zh-CN"/>
        </w:rPr>
        <w:t>模板</w:t>
      </w:r>
      <w:r>
        <w:rPr>
          <w:rFonts w:hint="eastAsia" w:ascii="仿宋_GB2312" w:eastAsia="仿宋_GB2312"/>
          <w:sz w:val="32"/>
        </w:rPr>
        <w:t>中所列内容是审核评估的基本要求，《自评报告》应包含但不限</w:t>
      </w:r>
      <w:bookmarkStart w:id="0" w:name="_GoBack"/>
      <w:bookmarkEnd w:id="0"/>
      <w:r>
        <w:rPr>
          <w:rFonts w:hint="eastAsia" w:ascii="仿宋_GB2312" w:eastAsia="仿宋_GB2312"/>
          <w:sz w:val="32"/>
        </w:rPr>
        <w:t>于这些内容。</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3</w:t>
      </w:r>
      <w:r>
        <w:rPr>
          <w:rFonts w:hint="eastAsia" w:ascii="仿宋_GB2312" w:eastAsia="仿宋_GB2312"/>
          <w:sz w:val="32"/>
        </w:rPr>
        <w:t>.格式文本中的黑体字体为规定内容，撰写时予以保留;其他字体为提示参考,撰写时不需保留。</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4</w:t>
      </w:r>
      <w:r>
        <w:rPr>
          <w:rFonts w:hint="eastAsia" w:ascii="仿宋_GB2312" w:eastAsia="仿宋_GB2312"/>
          <w:sz w:val="32"/>
        </w:rPr>
        <w:t>.支撑材料目录应作为《自评报告》附录列出，每个二级审核指标自评结果后面应分别列出相关支撑材料索引。</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5.</w:t>
      </w:r>
      <w:r>
        <w:rPr>
          <w:rFonts w:hint="eastAsia" w:ascii="仿宋_GB2312" w:eastAsia="仿宋_GB2312"/>
          <w:sz w:val="32"/>
        </w:rPr>
        <w:t>《自评报告》中的数据应与</w:t>
      </w:r>
      <w:r>
        <w:rPr>
          <w:rFonts w:hint="eastAsia" w:ascii="仿宋_GB2312" w:eastAsia="仿宋_GB2312"/>
          <w:sz w:val="32"/>
          <w:highlight w:val="none"/>
        </w:rPr>
        <w:t>《</w:t>
      </w:r>
      <w:r>
        <w:rPr>
          <w:rFonts w:hint="eastAsia" w:ascii="仿宋_GB2312" w:eastAsia="仿宋_GB2312"/>
          <w:sz w:val="32"/>
          <w:highlight w:val="none"/>
          <w:lang w:val="en-US" w:eastAsia="zh-CN"/>
        </w:rPr>
        <w:t>学院</w:t>
      </w:r>
      <w:r>
        <w:rPr>
          <w:rFonts w:hint="eastAsia" w:ascii="仿宋_GB2312" w:eastAsia="仿宋_GB2312"/>
          <w:sz w:val="32"/>
          <w:highlight w:val="none"/>
        </w:rPr>
        <w:t>本科教学状态数据分析报告》</w:t>
      </w:r>
      <w:r>
        <w:rPr>
          <w:rFonts w:hint="eastAsia" w:ascii="仿宋_GB2312" w:eastAsia="仿宋_GB2312"/>
          <w:sz w:val="32"/>
        </w:rPr>
        <w:t>的数据一致</w:t>
      </w:r>
      <w:r>
        <w:rPr>
          <w:rFonts w:hint="eastAsia" w:ascii="仿宋_GB2312" w:eastAsia="仿宋_GB2312"/>
          <w:sz w:val="32"/>
          <w:lang w:val="en-US" w:eastAsia="zh-CN"/>
        </w:rPr>
        <w:t>(每年10月份填报教学状态数据，最新数据在10月中下旬提供)</w:t>
      </w:r>
      <w:r>
        <w:rPr>
          <w:rFonts w:hint="eastAsia" w:ascii="仿宋_GB2312" w:eastAsia="仿宋_GB2312"/>
          <w:sz w:val="32"/>
        </w:rPr>
        <w:t>。</w:t>
      </w:r>
    </w:p>
    <w:p>
      <w:pPr>
        <w:rPr>
          <w:rFonts w:ascii="仿宋_GB2312" w:eastAsia="仿宋_GB2312"/>
          <w:sz w:val="32"/>
        </w:rPr>
      </w:pPr>
      <w:r>
        <w:rPr>
          <w:rFonts w:ascii="仿宋_GB2312" w:eastAsia="仿宋_GB2312"/>
          <w:sz w:val="32"/>
        </w:rPr>
        <w:br w:type="page"/>
      </w:r>
    </w:p>
    <w:p>
      <w:pPr>
        <w:spacing w:line="560" w:lineRule="exact"/>
        <w:ind w:firstLine="720" w:firstLineChars="200"/>
        <w:jc w:val="center"/>
        <w:rPr>
          <w:rFonts w:ascii="方正小标宋简体" w:eastAsia="方正小标宋简体"/>
          <w:sz w:val="36"/>
        </w:rPr>
      </w:pPr>
      <w:r>
        <w:rPr>
          <w:rFonts w:hint="eastAsia" w:ascii="方正小标宋简体" w:eastAsia="方正小标宋简体"/>
          <w:sz w:val="36"/>
        </w:rPr>
        <w:t>本科教育教学审核评估学院自评报告</w:t>
      </w:r>
    </w:p>
    <w:p>
      <w:pPr>
        <w:spacing w:line="560" w:lineRule="exact"/>
        <w:ind w:firstLine="640" w:firstLineChars="200"/>
        <w:rPr>
          <w:rFonts w:ascii="黑体" w:hAnsi="黑体" w:eastAsia="黑体"/>
          <w:sz w:val="32"/>
        </w:rPr>
      </w:pPr>
      <w:r>
        <w:rPr>
          <w:rFonts w:hint="eastAsia" w:ascii="黑体" w:hAnsi="黑体" w:eastAsia="黑体"/>
          <w:sz w:val="32"/>
        </w:rPr>
        <w:t>第一部分:学院简介（不超过2</w:t>
      </w:r>
      <w:r>
        <w:rPr>
          <w:rFonts w:ascii="黑体" w:hAnsi="黑体" w:eastAsia="黑体"/>
          <w:sz w:val="32"/>
        </w:rPr>
        <w:t>000</w:t>
      </w:r>
      <w:r>
        <w:rPr>
          <w:rFonts w:hint="eastAsia" w:ascii="黑体" w:hAnsi="黑体" w:eastAsia="黑体"/>
          <w:sz w:val="32"/>
        </w:rPr>
        <w:t>字）</w:t>
      </w:r>
    </w:p>
    <w:p>
      <w:pPr>
        <w:spacing w:line="560" w:lineRule="exact"/>
        <w:ind w:firstLine="640" w:firstLineChars="200"/>
        <w:rPr>
          <w:rFonts w:ascii="仿宋_GB2312" w:eastAsia="仿宋_GB2312"/>
          <w:sz w:val="32"/>
        </w:rPr>
      </w:pPr>
      <w:r>
        <w:rPr>
          <w:rFonts w:ascii="Times New Roman" w:hAnsi="Times New Roman" w:eastAsia="仿宋_GB2312" w:cs="Times New Roman"/>
          <w:sz w:val="32"/>
        </w:rPr>
        <w:t>1</w:t>
      </w:r>
      <w:r>
        <w:rPr>
          <w:rFonts w:hint="eastAsia" w:ascii="仿宋_GB2312" w:eastAsia="仿宋_GB2312"/>
          <w:sz w:val="32"/>
        </w:rPr>
        <w:t>.简要介绍学院的历史沿革，学科布局,本科专业数量与结构，各类全日制在校生规模,专任教师规模，基本办学条件等。</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2.</w:t>
      </w:r>
      <w:r>
        <w:rPr>
          <w:rFonts w:hint="eastAsia" w:ascii="仿宋_GB2312" w:eastAsia="仿宋_GB2312"/>
          <w:sz w:val="32"/>
        </w:rPr>
        <w:t>学院近年来事业发展中所取得的显著成就与荣誉。</w:t>
      </w:r>
    </w:p>
    <w:p>
      <w:pPr>
        <w:spacing w:line="560" w:lineRule="exact"/>
        <w:ind w:firstLine="640" w:firstLineChars="200"/>
        <w:rPr>
          <w:rFonts w:ascii="黑体" w:hAnsi="黑体" w:eastAsia="黑体"/>
          <w:sz w:val="32"/>
        </w:rPr>
      </w:pPr>
      <w:r>
        <w:rPr>
          <w:rFonts w:hint="eastAsia" w:ascii="黑体" w:hAnsi="黑体" w:eastAsia="黑体"/>
          <w:sz w:val="32"/>
        </w:rPr>
        <w:t>第二部分:学院自评工作开展情况（不超过2000字）</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1.</w:t>
      </w:r>
      <w:r>
        <w:rPr>
          <w:rFonts w:hint="eastAsia" w:ascii="仿宋_GB2312" w:eastAsia="仿宋_GB2312"/>
          <w:sz w:val="32"/>
        </w:rPr>
        <w:t>简要说明学院依据《普通高等学校本科教育教学审核评估实施方案(</w:t>
      </w:r>
      <w:r>
        <w:rPr>
          <w:rFonts w:hint="eastAsia" w:ascii="Times New Roman" w:hAnsi="Times New Roman" w:eastAsia="仿宋_GB2312" w:cs="Times New Roman"/>
          <w:sz w:val="32"/>
        </w:rPr>
        <w:t>2021—2025</w:t>
      </w:r>
      <w:r>
        <w:rPr>
          <w:rFonts w:hint="eastAsia" w:ascii="仿宋_GB2312" w:eastAsia="仿宋_GB2312"/>
          <w:sz w:val="32"/>
        </w:rPr>
        <w:t>年)》开展自评自建工作情况，包括组织机构、宣传发动、实施措施、经验以及评建工作取得的成效。</w:t>
      </w:r>
    </w:p>
    <w:p>
      <w:pPr>
        <w:spacing w:line="560" w:lineRule="exact"/>
        <w:ind w:firstLine="640" w:firstLineChars="200"/>
        <w:rPr>
          <w:rFonts w:ascii="仿宋_GB2312" w:eastAsia="仿宋_GB2312"/>
          <w:sz w:val="32"/>
        </w:rPr>
      </w:pPr>
      <w:r>
        <w:rPr>
          <w:rFonts w:hint="eastAsia" w:ascii="Times New Roman" w:hAnsi="Times New Roman" w:eastAsia="仿宋_GB2312" w:cs="Times New Roman"/>
          <w:sz w:val="32"/>
        </w:rPr>
        <w:t>2.</w:t>
      </w:r>
      <w:r>
        <w:rPr>
          <w:rFonts w:hint="eastAsia" w:ascii="仿宋_GB2312" w:eastAsia="仿宋_GB2312"/>
          <w:sz w:val="32"/>
        </w:rPr>
        <w:t>需附自查问题清单、支撑材料索引、学院审核评估工作领导小组、自评自建工作方案、自评自建过程记录等。</w:t>
      </w:r>
    </w:p>
    <w:p>
      <w:pPr>
        <w:spacing w:line="560" w:lineRule="exact"/>
        <w:ind w:firstLine="640" w:firstLineChars="200"/>
        <w:rPr>
          <w:rFonts w:ascii="黑体" w:hAnsi="黑体" w:eastAsia="黑体"/>
          <w:sz w:val="32"/>
        </w:rPr>
      </w:pPr>
      <w:r>
        <w:rPr>
          <w:rFonts w:hint="eastAsia" w:ascii="黑体" w:hAnsi="黑体" w:eastAsia="黑体"/>
          <w:sz w:val="32"/>
        </w:rPr>
        <w:t>第三部分:学院自评结果</w:t>
      </w:r>
      <w:r>
        <w:rPr>
          <w:rFonts w:hint="eastAsia" w:ascii="仿宋_GB2312" w:eastAsia="仿宋_GB2312"/>
          <w:sz w:val="32"/>
        </w:rPr>
        <w:t>（问题、原因分析以及改进措施不少于自评结果部分的三分之一）</w:t>
      </w:r>
    </w:p>
    <w:p>
      <w:pPr>
        <w:spacing w:line="560" w:lineRule="exact"/>
        <w:ind w:firstLine="640" w:firstLineChars="200"/>
        <w:rPr>
          <w:rFonts w:ascii="黑体" w:hAnsi="黑体" w:eastAsia="黑体"/>
          <w:sz w:val="32"/>
        </w:rPr>
      </w:pPr>
      <w:r>
        <w:rPr>
          <w:rFonts w:ascii="Times New Roman" w:hAnsi="Times New Roman" w:eastAsia="黑体" w:cs="Times New Roman"/>
          <w:sz w:val="32"/>
        </w:rPr>
        <w:t>1</w:t>
      </w:r>
      <w:r>
        <w:rPr>
          <w:rFonts w:hint="eastAsia" w:ascii="黑体" w:hAnsi="黑体" w:eastAsia="黑体"/>
          <w:sz w:val="32"/>
        </w:rPr>
        <w:t>.党的领导</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1.1</w:t>
      </w:r>
      <w:r>
        <w:rPr>
          <w:rFonts w:hint="eastAsia" w:ascii="黑体" w:hAnsi="黑体" w:eastAsia="黑体"/>
          <w:sz w:val="32"/>
        </w:rPr>
        <w:t xml:space="preserve"> 党的全面领导和社会主义办学方向</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坚持以习近平新时代中国特色社会主义思想为指导，坚持党的全面领导，全面贯彻党的教育方针，围绕国家战略需求培养担当民族复兴大任的时代新人，所采取的举措及取得的成效，特别是党的全面领导对学院高质量发展的引领作用。②学院是如何坚持社会主义办学方向、贯彻落实立德树人根本任务的，是否把立德树人成效作为检验学院工作的根本标准,如何体现,所采取的具体举措及取得的成效。</w:t>
      </w:r>
    </w:p>
    <w:p>
      <w:pPr>
        <w:spacing w:line="560" w:lineRule="exact"/>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列出能够证明上述自评结果的相关材料目录索引,如学院在加强党的领导方面出台的制度文件;贯彻落实立德树人根本任务方面的成果、典型案例;相关会议或宣传报道材料等。</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1.2</w:t>
      </w:r>
      <w:r>
        <w:rPr>
          <w:rFonts w:hint="eastAsia" w:ascii="黑体" w:hAnsi="黑体" w:eastAsia="黑体"/>
          <w:sz w:val="32"/>
        </w:rPr>
        <w:t>存在的问题、原因分析及下一步整改举措</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对标新时代国家对高等学校的要求，分析学院在坚持党的领导和社会主义办学方向上存在的主要问题是什么?问题表现是什么?产生问题的根源是什么?以及下一步如何改。</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w:t>
      </w:r>
      <w:r>
        <w:rPr>
          <w:rFonts w:hint="eastAsia" w:ascii="黑体" w:hAnsi="黑体" w:eastAsia="黑体"/>
          <w:sz w:val="32"/>
        </w:rPr>
        <w:t>.质量保障能力</w:t>
      </w:r>
    </w:p>
    <w:p>
      <w:pPr>
        <w:spacing w:line="560" w:lineRule="exact"/>
        <w:ind w:firstLine="640" w:firstLineChars="200"/>
        <w:rPr>
          <w:rFonts w:ascii="仿宋_GB2312" w:eastAsia="仿宋_GB2312"/>
          <w:sz w:val="32"/>
        </w:rPr>
      </w:pPr>
      <w:r>
        <w:rPr>
          <w:rFonts w:hint="eastAsia" w:ascii="仿宋_GB2312" w:eastAsia="仿宋_GB2312"/>
          <w:sz w:val="32"/>
        </w:rPr>
        <w:t>本部分是第一类评估的重点考察内容,也是国际通行尤其是高等教育发达国家体现高校治理能力的核心内容。学院应从顶层设计到落地实施,对建设世界一流大学所必备的质量保障理念、标准、机制、文化、效果等方面的举措、成效、问题及改进对策进行全面系统的梳理总结。</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2.1</w:t>
      </w:r>
      <w:r>
        <w:rPr>
          <w:rFonts w:hint="eastAsia" w:ascii="黑体" w:hAnsi="黑体" w:eastAsia="黑体"/>
          <w:sz w:val="32"/>
        </w:rPr>
        <w:t>质保理念</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①学院围绕学校提出的“学为中心、追求卓越、持续改进”的质保理念是如何贯彻落实到</w:t>
      </w:r>
      <w:r>
        <w:rPr>
          <w:rFonts w:hint="eastAsia" w:ascii="仿宋_GB2312" w:eastAsia="仿宋_GB2312"/>
          <w:sz w:val="32"/>
          <w:lang w:val="en-US" w:eastAsia="zh-CN"/>
        </w:rPr>
        <w:t>学院</w:t>
      </w:r>
      <w:r>
        <w:rPr>
          <w:rFonts w:hint="eastAsia" w:ascii="仿宋_GB2312" w:eastAsia="仿宋_GB2312"/>
          <w:sz w:val="32"/>
        </w:rPr>
        <w:t>质量保障体系建设与运行中，效果如何?围绕学校提出的“爱学会学、乐教善教、追求卓越”的学生、教师二元质量文化，总结学院质量文化建设的做法及成效。</w:t>
      </w:r>
    </w:p>
    <w:p>
      <w:pPr>
        <w:spacing w:line="560" w:lineRule="exact"/>
        <w:ind w:firstLine="640" w:firstLineChars="200"/>
        <w:rPr>
          <w:rFonts w:ascii="仿宋_GB2312" w:eastAsia="仿宋_GB2312"/>
          <w:sz w:val="32"/>
        </w:rPr>
      </w:pPr>
      <w:r>
        <w:rPr>
          <w:rFonts w:hint="eastAsia" w:ascii="仿宋_GB2312" w:eastAsia="仿宋_GB2312"/>
          <w:sz w:val="32"/>
        </w:rPr>
        <w:t>支撑材料目录:列出能够证明上述自评结果的相关材料目录索引，如学院质量保障体系的相关材料、学院加强质量文化建设相关材料等,具体材料视专家需要时提供。</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2.2</w:t>
      </w:r>
      <w:r>
        <w:rPr>
          <w:rFonts w:hint="eastAsia" w:ascii="黑体" w:hAnsi="黑体" w:eastAsia="黑体"/>
          <w:sz w:val="32"/>
        </w:rPr>
        <w:t xml:space="preserve"> 质量标准</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①学院依据《普通高等学校本科专业类教学质量国家标准》、有关行业标准以及学校相关管理制度推进一流质量标准建设情况。②学院各主要教学环节的质量标准是什么;学院质量标准落实方面的做法及成效。</w:t>
      </w:r>
    </w:p>
    <w:p>
      <w:pPr>
        <w:spacing w:line="560" w:lineRule="exact"/>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列出能证明上述自评结果的相关材料目录索引,包括学院质量标准体系有关文件、质量标准建设与落实方面的做法及成效等相关材料。</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2.3</w:t>
      </w:r>
      <w:r>
        <w:rPr>
          <w:rFonts w:hint="eastAsia" w:ascii="黑体" w:hAnsi="黑体" w:eastAsia="黑体"/>
          <w:sz w:val="32"/>
        </w:rPr>
        <w:t xml:space="preserve"> 质保机制</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院级教学质量监控队伍建设情况，机构设置及其职责、工作经费等:质量监控队伍的数量、结构和人员素质情况，可用图表分析呈现详细的队伍建设情况。②学院质保机制（质量监测与评价机制、评价结果反馈机制、持续改进机制)的建立情况,学院质保机制运行方面的做法及成效。</w:t>
      </w:r>
    </w:p>
    <w:p>
      <w:pPr>
        <w:spacing w:line="560" w:lineRule="exact"/>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列出能够证明上述自评结果的相关材料目录索引,如学院质量监控机构设置文件、学院质量保障体系及其运行的相关材料等。</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2.4</w:t>
      </w:r>
      <w:r>
        <w:rPr>
          <w:rFonts w:hint="eastAsia" w:ascii="黑体" w:hAnsi="黑体" w:eastAsia="黑体"/>
          <w:sz w:val="32"/>
        </w:rPr>
        <w:t>质量文化</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在质量文化建设方面的举措及成效。②将质量意识、质量标准、质量评价、质量管理落实到教育教学各环节，将质量要求内化为全院师生的共同价值追求和行为自觉方面的举措及成效;学院各专业培养目标、毕业要求、课程教学大纲公开的途径及面向师生宣贯的成效。</w:t>
      </w:r>
    </w:p>
    <w:p>
      <w:pPr>
        <w:spacing w:line="560" w:lineRule="exact"/>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质量文化建设方面的制度文件;质量文化建设成效成果展示、宣传相关材料;各专业培养目标、毕业要求、课程教学大纲公开的载体、过程记录及体现宣贯成效的证明材料等。</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2.5</w:t>
      </w:r>
      <w:r>
        <w:rPr>
          <w:rFonts w:hint="eastAsia" w:ascii="黑体" w:hAnsi="黑体" w:eastAsia="黑体"/>
          <w:sz w:val="32"/>
        </w:rPr>
        <w:t xml:space="preserve"> 质保效果</w:t>
      </w:r>
    </w:p>
    <w:p>
      <w:pPr>
        <w:spacing w:line="560" w:lineRule="exact"/>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各专业人才培养目标达成度是怎么评价的?要通过对用人单位以及相关各方的调查情况、跟踪毕业生的职业发展情况了解毕业生就业岗位状况及其适应岗位的情况来体现。②学院各专业社会需求适应度是怎么评价的?要通过举证学院人才培养目标与国家、社会及学生的要求与期望相符合，生源质量持续向好，毕业生面向国家和经济社会发展需要、面向所服务的区域和行业企业就业，就业质量和职业发展良好来体现。③学院师资和条件支撑度是怎么评价的?要通过举证教师数量、结构、教学科研水平、产学研用能力、国际视野、教学投人能够很好满足教学需要，以及教学条件，包括实验室及其教学仪器设备、实践基地等能够很好满足教学需要来体现。④学院质保体系运行有效度是怎么评价的?要通过举证说明学院已经建立了完善的教学质量保障体系，明确了人才培养各环节的质量标准，对各环节教学质量实施了有效监控、针对发现的问题提出质量改进建议,制定改进方案和整改措施、并对改进措施的有效性适时评价来体现。⑤学生和用人单位满意度是怎么评价的?要通过召开学生和用人单位座谈会或问卷调查，了解学生对教字、管理、服务的意见和建议，了解社会用人单位的需求和对毕业生的评价，了解毕业生职业满意度和工作成就感、毕业生社会满意度等来体现。</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列出能够证明上述自评结果的相关材料目录索引，如学院对“五个度”的评价方法、评价过程及评价结果记录（如座谈会、问卷调查）等相关材料。</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2.6</w:t>
      </w:r>
      <w:r>
        <w:rPr>
          <w:rFonts w:hint="eastAsia" w:ascii="黑体" w:hAnsi="黑体" w:eastAsia="黑体"/>
          <w:sz w:val="32"/>
        </w:rPr>
        <w:t xml:space="preserve"> 存在的问题、原因分析及下一步整改举措</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对标世界一流大学建设所必备的质量保障能力要求，分析学院还存在哪些问题?问题表现是什么?产生问题的根源是什么?以及下一步如何改。</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w:t>
      </w:r>
      <w:r>
        <w:rPr>
          <w:rFonts w:hint="eastAsia" w:ascii="黑体" w:hAnsi="黑体" w:eastAsia="黑体"/>
          <w:sz w:val="32"/>
        </w:rPr>
        <w:t>.教育教学水平</w:t>
      </w:r>
    </w:p>
    <w:p>
      <w:pPr>
        <w:ind w:firstLine="640" w:firstLineChars="200"/>
        <w:rPr>
          <w:rFonts w:ascii="仿宋_GB2312" w:eastAsia="仿宋_GB2312"/>
          <w:sz w:val="32"/>
        </w:rPr>
      </w:pPr>
      <w:r>
        <w:rPr>
          <w:rFonts w:hint="eastAsia" w:ascii="仿宋_GB2312" w:eastAsia="仿宋_GB2312"/>
          <w:sz w:val="32"/>
        </w:rPr>
        <w:t>本部分是学院人才培养质量的重要体现。学院应聚焦本科教育教学工作，对照新时代对一流大学人才培养的要求和学院人才培养目标定位，全面自评自查,认真总结思考,重点查找问题和不足，形成问题清单和改进举措。充分尊重学院办学情况,以参评学院自评自查形成“问题清单”和改进举措为主。</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3.1</w:t>
      </w:r>
      <w:r>
        <w:rPr>
          <w:rFonts w:hint="eastAsia" w:ascii="黑体" w:hAnsi="黑体" w:eastAsia="黑体"/>
          <w:sz w:val="32"/>
        </w:rPr>
        <w:t>思政教育</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①学院在落实意识形态工作责任制方面制订或执行了哪些制度?学院如何开展“三全育人”工作?成效如何?②贯彻落实教育部《高等学校课程思政建设指导纲要》(教高〔</w:t>
      </w:r>
      <w:r>
        <w:rPr>
          <w:rFonts w:hint="eastAsia" w:ascii="Times New Roman" w:hAnsi="Times New Roman" w:eastAsia="仿宋_GB2312" w:cs="Times New Roman"/>
          <w:sz w:val="32"/>
        </w:rPr>
        <w:t>2020</w:t>
      </w:r>
      <w:r>
        <w:rPr>
          <w:rFonts w:hint="eastAsia" w:ascii="仿宋_GB2312" w:eastAsia="仿宋_GB2312"/>
          <w:sz w:val="32"/>
        </w:rPr>
        <w:t>〕</w:t>
      </w:r>
      <w:r>
        <w:rPr>
          <w:rFonts w:hint="eastAsia" w:ascii="Times New Roman" w:hAnsi="Times New Roman" w:eastAsia="仿宋_GB2312" w:cs="Times New Roman"/>
          <w:sz w:val="32"/>
        </w:rPr>
        <w:t>3</w:t>
      </w:r>
      <w:r>
        <w:rPr>
          <w:rFonts w:hint="eastAsia" w:ascii="仿宋_GB2312" w:eastAsia="仿宋_GB2312"/>
          <w:sz w:val="32"/>
        </w:rPr>
        <w:t>号)</w:t>
      </w:r>
      <w:r>
        <w:rPr>
          <w:rFonts w:hint="eastAsia" w:ascii="仿宋_GB2312" w:eastAsia="仿宋_GB2312"/>
          <w:sz w:val="32"/>
          <w:lang w:val="en-US" w:eastAsia="zh-CN"/>
        </w:rPr>
        <w:t>及学校课程思政建设相关文件</w:t>
      </w:r>
      <w:r>
        <w:rPr>
          <w:rFonts w:hint="eastAsia" w:ascii="仿宋_GB2312" w:eastAsia="仿宋_GB2312"/>
          <w:sz w:val="32"/>
        </w:rPr>
        <w:t>精神，在课程思政示范课程、课程思政示范</w:t>
      </w:r>
      <w:r>
        <w:rPr>
          <w:rFonts w:hint="eastAsia" w:ascii="仿宋_GB2312" w:eastAsia="仿宋_GB2312"/>
          <w:sz w:val="32"/>
          <w:lang w:val="en-US" w:eastAsia="zh-CN"/>
        </w:rPr>
        <w:t>专业</w:t>
      </w:r>
      <w:r>
        <w:rPr>
          <w:rFonts w:hint="eastAsia" w:ascii="仿宋_GB2312" w:eastAsia="仿宋_GB2312"/>
          <w:sz w:val="32"/>
        </w:rPr>
        <w:t>、教学名师和团队的建设方面的举措及成效(包括经费投入、教师进修培养、激励机制等)。③学院在师生思想政治、道德品质等方面负面问题的预警机制、应对处置措施及实施情况。</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列出能够证明上述自评结果的相关材料目录索引，如学院在落实意识形态工作责任制方面制订或执行的制度文件;课程思政的典型案例;课程思政示范课程、课程思政示范</w:t>
      </w:r>
      <w:r>
        <w:rPr>
          <w:rFonts w:hint="eastAsia" w:ascii="仿宋_GB2312" w:eastAsia="仿宋_GB2312"/>
          <w:sz w:val="32"/>
          <w:lang w:val="en-US" w:eastAsia="zh-CN"/>
        </w:rPr>
        <w:t>专业、教学名师和团队建设</w:t>
      </w:r>
      <w:r>
        <w:rPr>
          <w:rFonts w:hint="eastAsia" w:ascii="仿宋_GB2312" w:eastAsia="仿宋_GB2312"/>
          <w:sz w:val="32"/>
        </w:rPr>
        <w:t>等资料;师生在思想政治、道德品质等方面出现负面问题情况应对及处理情况等。</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3.2</w:t>
      </w:r>
      <w:r>
        <w:rPr>
          <w:rFonts w:hint="eastAsia" w:ascii="黑体" w:hAnsi="黑体" w:eastAsia="黑体"/>
          <w:sz w:val="32"/>
        </w:rPr>
        <w:t>本科地位</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在坚持本科人才培养核心地位、推进“四个回归”方面的举措及实施成效;学院主要领导亲自抓本科教育的情况;本科教育在学院各项工作中核心地位的体现。②学院在教师引进、职称评聘、绩效考核等制度设计和实际运行中突出本科教育情况,成效如何?</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在落实本科地位方面制订出台的制度文件;党委会、党政联席会专题研究本科教育教学工作的会议记录、各级领导听课记录;学院教师引进、职称评聘、绩效考核等制度文件;近三年学院在教学方面的经费投入情况。</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3.3</w:t>
      </w:r>
      <w:r>
        <w:rPr>
          <w:rFonts w:hint="eastAsia" w:ascii="黑体" w:hAnsi="黑体" w:eastAsia="黑体"/>
          <w:sz w:val="32"/>
        </w:rPr>
        <w:t>教师队伍</w:t>
      </w:r>
    </w:p>
    <w:p>
      <w:pPr>
        <w:ind w:firstLine="640" w:firstLineChars="200"/>
        <w:rPr>
          <w:rFonts w:ascii="仿宋_GB2312" w:eastAsia="仿宋_GB2312"/>
          <w:sz w:val="32"/>
        </w:rPr>
      </w:pPr>
      <w:r>
        <w:rPr>
          <w:rFonts w:hint="eastAsia" w:ascii="仿宋_GB2312" w:eastAsia="仿宋_GB2312"/>
          <w:sz w:val="32"/>
        </w:rPr>
        <w:t>重点阐述:①学院贯彻落实教育部等七部门《关于加强和改进新时代师德师风建设的意见》(教师〔</w:t>
      </w:r>
      <w:r>
        <w:rPr>
          <w:rFonts w:hint="eastAsia" w:ascii="Times New Roman" w:hAnsi="Times New Roman" w:eastAsia="仿宋_GB2312" w:cs="Times New Roman"/>
          <w:sz w:val="32"/>
        </w:rPr>
        <w:t>2019</w:t>
      </w:r>
      <w:r>
        <w:rPr>
          <w:rFonts w:hint="eastAsia" w:ascii="仿宋_GB2312" w:eastAsia="仿宋_GB2312"/>
          <w:sz w:val="32"/>
        </w:rPr>
        <w:t>〕</w:t>
      </w:r>
      <w:r>
        <w:rPr>
          <w:rFonts w:hint="eastAsia" w:ascii="Times New Roman" w:hAnsi="Times New Roman" w:eastAsia="仿宋_GB2312" w:cs="Times New Roman"/>
          <w:sz w:val="32"/>
        </w:rPr>
        <w:t>10</w:t>
      </w:r>
      <w:r>
        <w:rPr>
          <w:rFonts w:hint="eastAsia" w:ascii="仿宋_GB2312" w:eastAsia="仿宋_GB2312"/>
          <w:sz w:val="32"/>
        </w:rPr>
        <w:t>号)</w:t>
      </w:r>
      <w:r>
        <w:rPr>
          <w:rFonts w:hint="eastAsia" w:ascii="仿宋_GB2312" w:eastAsia="仿宋_GB2312"/>
          <w:sz w:val="32"/>
          <w:lang w:val="en-US" w:eastAsia="zh-CN"/>
        </w:rPr>
        <w:t>及</w:t>
      </w:r>
      <w:r>
        <w:rPr>
          <w:rFonts w:hint="eastAsia" w:ascii="仿宋_GB2312" w:eastAsia="仿宋_GB2312"/>
          <w:sz w:val="32"/>
        </w:rPr>
        <w:t>学校有关师德师风建设</w:t>
      </w:r>
      <w:r>
        <w:rPr>
          <w:rFonts w:hint="eastAsia" w:ascii="仿宋_GB2312" w:eastAsia="仿宋_GB2312"/>
          <w:sz w:val="32"/>
          <w:lang w:val="en-US" w:eastAsia="zh-CN"/>
        </w:rPr>
        <w:t>相关</w:t>
      </w:r>
      <w:r>
        <w:rPr>
          <w:rFonts w:hint="eastAsia" w:ascii="仿宋_GB2312" w:eastAsia="仿宋_GB2312"/>
          <w:sz w:val="32"/>
        </w:rPr>
        <w:t>文件精神，把师德师风作为评价教师第一标准、将师德考核贯穿于教育教学全过程等方面的举措及成效；②学院教师教学能力评价及分析，学生对教师教学的满意度评价及分析;学院在推动高水平教师投入本科教育教学方面的政策、举措与成效;学院教授、副教授给本科生上课的情况。③学院制定教师培训与职业发展规划、培训工作计划及执行情况。④学院重视教师教学发展与培训,在加强名师工作室、基层教学组织（或教学团队）等建设的措施与成效。</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教师队伍建设规划;学院在加强教师队伍及基层教学组织（或教学团队）建设方面制定出台的制度文件;各专业生师比、具有博士学位教师占专任教师比例、主讲本科课程教授占教授总数的比例、教授主讲本科课程人均学时数等核心数据的支撑材料;学院近三年来教师培训经费投入情况等。</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3.4</w:t>
      </w:r>
      <w:r>
        <w:rPr>
          <w:rFonts w:hint="eastAsia" w:ascii="黑体" w:hAnsi="黑体" w:eastAsia="黑体"/>
          <w:sz w:val="32"/>
        </w:rPr>
        <w:t>学生发展与支持</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近三年面向农村和贫困地区、民族地区等的招生情况统计;针对这些学生因材施教的举措与成效。②学院协同推进学生德智体美劳“五育”的情况;学院实施“五育”过程中重视学生学习体验、自我发展能力和职业发展能力的具体措施及成效。③列出学院近五年专业领域的三个优秀毕业生相关信息，简要归纳总结可供推广的培养经验。</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列出能够证明上述自评结果的相关材料目录索引，如学院在学生发展方面制定的制度文件;学院生源质量分析报告;学院就业质量分析报告;以及支持核心数据的原始材料;优秀毕业生的有关材料等。</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3.5</w:t>
      </w:r>
      <w:r>
        <w:rPr>
          <w:rFonts w:hint="eastAsia" w:ascii="黑体" w:hAnsi="黑体" w:eastAsia="黑体"/>
          <w:sz w:val="32"/>
        </w:rPr>
        <w:t>卓越教学</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新工科、新文科和一流专业建设方案和推动举措,以及已经取得的成效;学院围绕“培育高水平教学成果”立项了哪些教研教改项目，项目实施情况和取得的进展。②学院转变教育教学理念,改革传统的教与学形态，探索智能教育新形态，推动课程教学从“以教为中心”向“以学为中心”的转变，推进信息技术与教学过程的融合,建设具有高阶性、创新性和挑战度的线下、线上、线上线下混合、虚拟仿真和社会实践“金课”的举措与取得的成效。③学院加强教材建设与管理工作所建立的工作机制、工作制度情况及实施成效,要说明教材审核选用标准和程序,重点要说明近几年教材选用工作中是否出现负面问题，学院是如何处理的。④学院推动学科资源、科研资源转化应用于本科教育教学的举措与效果；科研实验室、研究中心及平台等在本科人才培养中发挥的作用。</w:t>
      </w:r>
      <w:r>
        <w:rPr>
          <w:rFonts w:hint="eastAsia" w:ascii="仿宋_GB2312" w:eastAsia="仿宋_GB2312"/>
          <w:sz w:val="32"/>
          <w:lang w:val="en-US" w:eastAsia="zh-CN"/>
        </w:rPr>
        <w:t>⑤</w:t>
      </w:r>
      <w:r>
        <w:rPr>
          <w:rFonts w:hint="eastAsia" w:ascii="仿宋_GB2312" w:eastAsia="仿宋_GB2312"/>
          <w:sz w:val="32"/>
        </w:rPr>
        <w:t>学院主动服务国家对外开放战略,积极融人“一带一路”建设，推动国际交流与合作，与国（境）外高水平大学开展联合办学、联合培养，推荐优秀学生到国际组织任职、实习等情况,说明具体做法、采取的举措与取得的成效。</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推进卓越教学工作制订出台的制度文件;学院一流专业、一流课程建设方案及典型材料;新工科、新文科建设成效的典型材料;获得国家级教学成果奖情况以及获奖项目在教学改革中的示范案例;学院卓越教学方面的亮点、特色与典型案例;教育部审批的中外合作办学机构或项目;引进国外优质资源情况;开展来华留学教育,招收学历教育国际学生情况;学院的来华留学教育和管理质量通过质量认证情况。</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3.6</w:t>
      </w:r>
      <w:r>
        <w:rPr>
          <w:rFonts w:hint="eastAsia" w:ascii="黑体" w:hAnsi="黑体" w:eastAsia="黑体"/>
          <w:sz w:val="32"/>
        </w:rPr>
        <w:t xml:space="preserve"> 就业与创新创业教育</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①学院将创新创业教育融于人才培养方案，面向全体学生所开展的因材施教、强化创新实践情况、推动举措与实施成效。②学院高水平的教师、重要研究平台和重点项目支持本科生开展创新创业活动，为学生尽早参与和融人科研，早进课题、早进实验室、早进团队所提供的经费与条件，以高水平科学研究提高学生创新实践和创业能力情况、推动举措与实施成效。③学院开展大学生职业生涯规划教育方面的制度建设、实施做法及取得的成效。</w:t>
      </w:r>
    </w:p>
    <w:p>
      <w:pPr>
        <w:ind w:firstLine="643" w:firstLineChars="200"/>
        <w:rPr>
          <w:rFonts w:ascii="仿宋_GB2312" w:eastAsia="仿宋_GB2312"/>
          <w:sz w:val="32"/>
        </w:rPr>
      </w:pPr>
      <w:r>
        <w:rPr>
          <w:rFonts w:hint="eastAsia" w:ascii="仿宋_GB2312" w:eastAsia="仿宋_GB2312"/>
          <w:b/>
          <w:bCs/>
          <w:sz w:val="32"/>
        </w:rPr>
        <w:t>支撑材料目录:</w:t>
      </w:r>
      <w:r>
        <w:rPr>
          <w:rFonts w:hint="eastAsia" w:ascii="仿宋_GB2312" w:eastAsia="仿宋_GB2312"/>
          <w:sz w:val="32"/>
        </w:rPr>
        <w:t>列出能够证明上述自评结果的相关材料目录索引，如学院在创新创业教育方面制定出台的制度文件;学院高水平教师指导本科生开展创新创业训练的有关材料;国家级大学生创新创业训练计划项目数、“互联网+”大学生创新创业大赛获奖项目、本科生参加国内外大赛的获奖项目、本科生以第一作者/通讯作者在核心期刊发表的论文及获批国家发明专利等统计表;本科生创业典型材料等。</w:t>
      </w:r>
    </w:p>
    <w:p>
      <w:pPr>
        <w:spacing w:line="560" w:lineRule="exact"/>
        <w:ind w:firstLine="640" w:firstLineChars="200"/>
        <w:rPr>
          <w:rFonts w:ascii="黑体" w:hAnsi="黑体" w:eastAsia="黑体"/>
          <w:sz w:val="32"/>
        </w:rPr>
      </w:pPr>
      <w:r>
        <w:rPr>
          <w:rFonts w:ascii="黑体" w:hAnsi="黑体" w:eastAsia="黑体"/>
          <w:sz w:val="32"/>
        </w:rPr>
        <w:tab/>
      </w:r>
      <w:r>
        <w:rPr>
          <w:rFonts w:hint="eastAsia" w:ascii="Times New Roman" w:hAnsi="Times New Roman" w:eastAsia="黑体" w:cs="Times New Roman"/>
          <w:sz w:val="32"/>
        </w:rPr>
        <w:t>3.7</w:t>
      </w:r>
      <w:r>
        <w:rPr>
          <w:rFonts w:hint="eastAsia" w:ascii="黑体" w:hAnsi="黑体" w:eastAsia="黑体"/>
          <w:sz w:val="32"/>
        </w:rPr>
        <w:t>存在的问题、原因分析及下一步整改举措</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对标习近平总书记关于教育的重要论述，新时代国家对高水平一流大学本科人才培养要求，以及通过各类数据信息，分析学院在教育教学上还存在哪些问题?问题表现是什么?产生问题的根源是什么?下一步如何改。</w:t>
      </w:r>
    </w:p>
    <w:p>
      <w:pPr>
        <w:spacing w:line="560" w:lineRule="exact"/>
        <w:ind w:firstLine="640" w:firstLineChars="200"/>
        <w:rPr>
          <w:rFonts w:ascii="黑体" w:hAnsi="黑体" w:eastAsia="黑体"/>
          <w:sz w:val="32"/>
        </w:rPr>
      </w:pPr>
      <w:r>
        <w:rPr>
          <w:rFonts w:hint="eastAsia" w:ascii="Times New Roman" w:hAnsi="Times New Roman" w:eastAsia="黑体" w:cs="Times New Roman"/>
          <w:sz w:val="32"/>
        </w:rPr>
        <w:t>4</w:t>
      </w:r>
      <w:r>
        <w:rPr>
          <w:rFonts w:hint="eastAsia" w:ascii="黑体" w:hAnsi="黑体" w:eastAsia="黑体"/>
          <w:sz w:val="32"/>
        </w:rPr>
        <w:t>.教育教学综合改革</w:t>
      </w:r>
    </w:p>
    <w:p>
      <w:pPr>
        <w:ind w:firstLine="640" w:firstLineChars="200"/>
        <w:rPr>
          <w:rFonts w:ascii="仿宋_GB2312" w:eastAsia="仿宋_GB2312"/>
          <w:sz w:val="32"/>
        </w:rPr>
      </w:pPr>
      <w:r>
        <w:rPr>
          <w:rFonts w:hint="eastAsia" w:ascii="仿宋_GB2312" w:eastAsia="仿宋_GB2312"/>
          <w:sz w:val="32"/>
        </w:rPr>
        <w:t>本部分内容给学院“留白”,由学院对其独具特色与价值的本科综合改革进行“自画像”，更好发挥学院在人才培养教育教学改革中的共享价值和示范引领作用。</w:t>
      </w:r>
    </w:p>
    <w:p>
      <w:pPr>
        <w:ind w:firstLine="643" w:firstLineChars="200"/>
        <w:rPr>
          <w:rFonts w:ascii="仿宋_GB2312" w:eastAsia="仿宋_GB2312"/>
          <w:sz w:val="32"/>
        </w:rPr>
      </w:pPr>
      <w:r>
        <w:rPr>
          <w:rFonts w:hint="eastAsia" w:ascii="仿宋_GB2312" w:eastAsia="仿宋_GB2312"/>
          <w:b/>
          <w:bCs/>
          <w:sz w:val="32"/>
        </w:rPr>
        <w:t>重点阐述:</w:t>
      </w:r>
      <w:r>
        <w:rPr>
          <w:rFonts w:hint="eastAsia" w:ascii="仿宋_GB2312" w:eastAsia="仿宋_GB2312"/>
          <w:sz w:val="32"/>
        </w:rPr>
        <w:t>学院围绕培养一流拔尖创新人才所开展的系统性、整体性、前瞻性、协同性的教育教学综合改革和创新实践。可以是人才培养模式上的重大改革,涉及国内外、校内外的高校、科研院所、企业等的协同;教育教学模式上的重大变革,涉及多种教育技术的综合应用;管理模式上的重大改革，涉及学院体制机制的创新和多部门的联动等。改革应在教育教学实践中取得突破,对提高教学水平和教育质量、实现培养目标有突出效果。</w:t>
      </w:r>
    </w:p>
    <w:p>
      <w:pPr>
        <w:tabs>
          <w:tab w:val="left" w:pos="765"/>
        </w:tabs>
        <w:rPr>
          <w:rFonts w:ascii="仿宋_GB2312" w:eastAsia="仿宋_GB2312"/>
          <w:sz w:val="32"/>
        </w:rPr>
      </w:pPr>
    </w:p>
    <w:p>
      <w:pPr>
        <w:tabs>
          <w:tab w:val="left" w:pos="765"/>
        </w:tabs>
        <w:rPr>
          <w:rFonts w:ascii="黑体" w:hAnsi="黑体" w:eastAsia="黑体"/>
          <w:sz w:val="32"/>
        </w:rPr>
      </w:pPr>
      <w:r>
        <w:rPr>
          <w:rFonts w:hint="eastAsia" w:ascii="黑体" w:hAnsi="黑体" w:eastAsia="黑体"/>
          <w:sz w:val="32"/>
        </w:rPr>
        <w:t>附</w:t>
      </w:r>
      <w:r>
        <w:rPr>
          <w:rFonts w:hint="eastAsia" w:ascii="Times New Roman" w:hAnsi="Times New Roman" w:eastAsia="黑体" w:cs="Times New Roman"/>
          <w:sz w:val="32"/>
        </w:rPr>
        <w:t>1</w:t>
      </w:r>
      <w:r>
        <w:rPr>
          <w:rFonts w:hint="eastAsia" w:ascii="黑体" w:hAnsi="黑体" w:eastAsia="黑体"/>
          <w:sz w:val="32"/>
        </w:rPr>
        <w:t>:本科教育教学自评问题清单</w:t>
      </w:r>
    </w:p>
    <w:p>
      <w:pPr>
        <w:ind w:firstLine="643" w:firstLineChars="200"/>
        <w:jc w:val="center"/>
        <w:rPr>
          <w:rFonts w:ascii="仿宋_GB2312" w:eastAsia="仿宋_GB2312"/>
          <w:sz w:val="32"/>
        </w:rPr>
      </w:pPr>
      <w:r>
        <w:rPr>
          <w:rFonts w:hint="eastAsia" w:ascii="仿宋_GB2312" w:eastAsia="仿宋_GB2312"/>
          <w:b/>
          <w:bCs/>
          <w:sz w:val="32"/>
        </w:rPr>
        <w:t>问题清单表(参考格式)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1959"/>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ind w:firstLine="200"/>
              <w:jc w:val="center"/>
              <w:rPr>
                <w:rFonts w:ascii="仿宋_GB2312" w:eastAsia="仿宋_GB2312"/>
                <w:b/>
                <w:bCs/>
                <w:sz w:val="32"/>
              </w:rPr>
            </w:pPr>
            <w:r>
              <w:rPr>
                <w:rFonts w:hint="eastAsia" w:ascii="仿宋_GB2312" w:eastAsia="仿宋_GB2312"/>
                <w:b/>
                <w:bCs/>
                <w:sz w:val="32"/>
              </w:rPr>
              <w:t>问题序号</w:t>
            </w:r>
          </w:p>
        </w:tc>
        <w:tc>
          <w:tcPr>
            <w:tcW w:w="4033" w:type="dxa"/>
            <w:gridSpan w:val="2"/>
            <w:vAlign w:val="center"/>
          </w:tcPr>
          <w:p>
            <w:pPr>
              <w:ind w:firstLine="643" w:firstLineChars="200"/>
              <w:jc w:val="center"/>
              <w:rPr>
                <w:rFonts w:ascii="仿宋_GB2312" w:eastAsia="仿宋_GB2312"/>
                <w:b/>
                <w:bCs/>
                <w:sz w:val="32"/>
              </w:rPr>
            </w:pPr>
            <w:r>
              <w:rPr>
                <w:rFonts w:hint="eastAsia" w:ascii="仿宋_GB2312" w:eastAsia="仿宋_GB2312"/>
                <w:b/>
                <w:bCs/>
                <w:sz w:val="32"/>
              </w:rPr>
              <w:t>对应的审核指标</w:t>
            </w:r>
          </w:p>
        </w:tc>
        <w:tc>
          <w:tcPr>
            <w:tcW w:w="2189" w:type="dxa"/>
            <w:vMerge w:val="restart"/>
            <w:vAlign w:val="center"/>
          </w:tcPr>
          <w:p>
            <w:pPr>
              <w:jc w:val="center"/>
              <w:rPr>
                <w:rFonts w:ascii="仿宋_GB2312" w:eastAsia="仿宋_GB2312"/>
                <w:sz w:val="32"/>
              </w:rPr>
            </w:pPr>
            <w:r>
              <w:rPr>
                <w:rFonts w:hint="eastAsia" w:ascii="仿宋_GB2312" w:eastAsia="仿宋_GB2312"/>
                <w:b/>
                <w:bCs/>
                <w:sz w:val="32"/>
              </w:rPr>
              <w:t>问题简明表述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ind w:firstLine="200"/>
              <w:jc w:val="center"/>
              <w:rPr>
                <w:rFonts w:ascii="仿宋_GB2312" w:eastAsia="仿宋_GB2312"/>
                <w:b/>
                <w:bCs/>
                <w:sz w:val="32"/>
              </w:rPr>
            </w:pPr>
          </w:p>
        </w:tc>
        <w:tc>
          <w:tcPr>
            <w:tcW w:w="2074" w:type="dxa"/>
            <w:vAlign w:val="center"/>
          </w:tcPr>
          <w:p>
            <w:pPr>
              <w:ind w:firstLine="200"/>
              <w:jc w:val="center"/>
              <w:rPr>
                <w:rFonts w:ascii="仿宋_GB2312" w:eastAsia="仿宋_GB2312"/>
                <w:b/>
                <w:bCs/>
                <w:sz w:val="32"/>
              </w:rPr>
            </w:pPr>
            <w:r>
              <w:rPr>
                <w:rFonts w:hint="eastAsia" w:ascii="仿宋_GB2312" w:eastAsia="仿宋_GB2312"/>
                <w:b/>
                <w:bCs/>
                <w:sz w:val="32"/>
              </w:rPr>
              <w:t>一级指标</w:t>
            </w:r>
          </w:p>
        </w:tc>
        <w:tc>
          <w:tcPr>
            <w:tcW w:w="1959" w:type="dxa"/>
            <w:vAlign w:val="center"/>
          </w:tcPr>
          <w:p>
            <w:pPr>
              <w:ind w:firstLine="200"/>
              <w:jc w:val="center"/>
              <w:rPr>
                <w:rFonts w:ascii="仿宋_GB2312" w:eastAsia="仿宋_GB2312"/>
                <w:b/>
                <w:bCs/>
                <w:sz w:val="32"/>
              </w:rPr>
            </w:pPr>
            <w:r>
              <w:rPr>
                <w:rFonts w:hint="eastAsia" w:ascii="仿宋_GB2312" w:eastAsia="仿宋_GB2312"/>
                <w:b/>
                <w:bCs/>
                <w:sz w:val="32"/>
              </w:rPr>
              <w:t>二级指标</w:t>
            </w:r>
          </w:p>
        </w:tc>
        <w:tc>
          <w:tcPr>
            <w:tcW w:w="2189" w:type="dxa"/>
            <w:vMerge w:val="continue"/>
          </w:tcPr>
          <w:p>
            <w:pPr>
              <w:ind w:firstLine="200"/>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200"/>
              <w:rPr>
                <w:rFonts w:ascii="仿宋_GB2312" w:eastAsia="仿宋_GB2312"/>
                <w:sz w:val="32"/>
              </w:rPr>
            </w:pPr>
          </w:p>
        </w:tc>
        <w:tc>
          <w:tcPr>
            <w:tcW w:w="2074" w:type="dxa"/>
          </w:tcPr>
          <w:p>
            <w:pPr>
              <w:ind w:firstLine="200"/>
              <w:rPr>
                <w:rFonts w:ascii="仿宋_GB2312" w:eastAsia="仿宋_GB2312"/>
                <w:sz w:val="32"/>
              </w:rPr>
            </w:pPr>
          </w:p>
        </w:tc>
        <w:tc>
          <w:tcPr>
            <w:tcW w:w="1959" w:type="dxa"/>
          </w:tcPr>
          <w:p>
            <w:pPr>
              <w:ind w:firstLine="200"/>
              <w:rPr>
                <w:rFonts w:ascii="仿宋_GB2312" w:eastAsia="仿宋_GB2312"/>
                <w:sz w:val="32"/>
              </w:rPr>
            </w:pPr>
          </w:p>
        </w:tc>
        <w:tc>
          <w:tcPr>
            <w:tcW w:w="2189" w:type="dxa"/>
          </w:tcPr>
          <w:p>
            <w:pPr>
              <w:ind w:firstLine="200"/>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ind w:firstLine="200"/>
              <w:rPr>
                <w:rFonts w:ascii="仿宋_GB2312" w:eastAsia="仿宋_GB2312"/>
                <w:sz w:val="32"/>
              </w:rPr>
            </w:pPr>
          </w:p>
        </w:tc>
        <w:tc>
          <w:tcPr>
            <w:tcW w:w="2074" w:type="dxa"/>
          </w:tcPr>
          <w:p>
            <w:pPr>
              <w:ind w:firstLine="200"/>
              <w:rPr>
                <w:rFonts w:ascii="仿宋_GB2312" w:eastAsia="仿宋_GB2312"/>
                <w:sz w:val="32"/>
              </w:rPr>
            </w:pPr>
          </w:p>
        </w:tc>
        <w:tc>
          <w:tcPr>
            <w:tcW w:w="1959" w:type="dxa"/>
          </w:tcPr>
          <w:p>
            <w:pPr>
              <w:ind w:firstLine="200"/>
              <w:rPr>
                <w:rFonts w:ascii="仿宋_GB2312" w:eastAsia="仿宋_GB2312"/>
                <w:sz w:val="32"/>
              </w:rPr>
            </w:pPr>
          </w:p>
        </w:tc>
        <w:tc>
          <w:tcPr>
            <w:tcW w:w="2189" w:type="dxa"/>
          </w:tcPr>
          <w:p>
            <w:pPr>
              <w:ind w:firstLine="200"/>
              <w:rPr>
                <w:rFonts w:ascii="仿宋_GB2312" w:eastAsia="仿宋_GB2312"/>
                <w:sz w:val="32"/>
              </w:rPr>
            </w:pPr>
          </w:p>
        </w:tc>
      </w:tr>
    </w:tbl>
    <w:p>
      <w:pPr>
        <w:tabs>
          <w:tab w:val="left" w:pos="765"/>
        </w:tabs>
        <w:rPr>
          <w:rFonts w:hint="eastAsia" w:ascii="黑体" w:hAnsi="黑体" w:eastAsia="黑体"/>
          <w:sz w:val="32"/>
        </w:rPr>
      </w:pPr>
      <w:r>
        <w:rPr>
          <w:rFonts w:hint="eastAsia" w:ascii="黑体" w:hAnsi="黑体" w:eastAsia="黑体"/>
          <w:sz w:val="32"/>
        </w:rPr>
        <w:t>附</w:t>
      </w:r>
      <w:r>
        <w:rPr>
          <w:rFonts w:hint="eastAsia" w:ascii="Times New Roman" w:hAnsi="Times New Roman" w:eastAsia="黑体" w:cs="Times New Roman"/>
          <w:sz w:val="32"/>
        </w:rPr>
        <w:t>2</w:t>
      </w:r>
      <w:r>
        <w:rPr>
          <w:rFonts w:hint="eastAsia" w:ascii="黑体" w:hAnsi="黑体" w:eastAsia="黑体"/>
          <w:sz w:val="32"/>
        </w:rPr>
        <w:t>:支撑材料目录</w:t>
      </w:r>
    </w:p>
    <w:p>
      <w:pPr>
        <w:ind w:firstLine="643" w:firstLineChars="200"/>
        <w:jc w:val="center"/>
        <w:rPr>
          <w:rFonts w:hint="eastAsia" w:ascii="仿宋_GB2312" w:eastAsia="仿宋_GB2312"/>
          <w:b/>
          <w:bCs/>
          <w:sz w:val="32"/>
          <w:lang w:val="en-US" w:eastAsia="zh-CN"/>
        </w:rPr>
      </w:pPr>
      <w:r>
        <w:rPr>
          <w:rFonts w:hint="eastAsia" w:ascii="仿宋_GB2312" w:eastAsia="仿宋_GB2312"/>
          <w:b/>
          <w:bCs/>
          <w:sz w:val="32"/>
          <w:lang w:val="en-US" w:eastAsia="zh-CN"/>
        </w:rPr>
        <w:t>自评报告支撑材料目录（参考格式）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439"/>
        <w:gridCol w:w="1276"/>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ind w:firstLine="200"/>
              <w:jc w:val="center"/>
              <w:rPr>
                <w:rFonts w:hint="eastAsia" w:ascii="仿宋_GB2312" w:eastAsia="仿宋_GB2312" w:hAnsiTheme="minorHAnsi"/>
                <w:b/>
                <w:bCs/>
                <w:sz w:val="32"/>
                <w:vertAlign w:val="baseline"/>
                <w:lang w:val="en-US" w:eastAsia="zh-CN"/>
              </w:rPr>
            </w:pPr>
            <w:r>
              <w:rPr>
                <w:rFonts w:hint="eastAsia" w:ascii="仿宋_GB2312" w:eastAsia="仿宋_GB2312" w:hAnsiTheme="minorHAnsi"/>
                <w:b/>
                <w:bCs/>
                <w:sz w:val="32"/>
                <w:vertAlign w:val="baseline"/>
                <w:lang w:val="en-US" w:eastAsia="zh-CN"/>
              </w:rPr>
              <w:t>一级指标</w:t>
            </w:r>
          </w:p>
        </w:tc>
        <w:tc>
          <w:tcPr>
            <w:tcW w:w="2439" w:type="dxa"/>
            <w:vAlign w:val="center"/>
          </w:tcPr>
          <w:p>
            <w:pPr>
              <w:ind w:firstLine="200"/>
              <w:jc w:val="center"/>
              <w:rPr>
                <w:rFonts w:hint="eastAsia" w:ascii="仿宋_GB2312" w:eastAsia="仿宋_GB2312" w:hAnsiTheme="minorHAnsi"/>
                <w:b/>
                <w:bCs/>
                <w:sz w:val="32"/>
                <w:vertAlign w:val="baseline"/>
                <w:lang w:val="en-US" w:eastAsia="zh-CN"/>
              </w:rPr>
            </w:pPr>
            <w:r>
              <w:rPr>
                <w:rFonts w:hint="eastAsia" w:ascii="仿宋_GB2312" w:eastAsia="仿宋_GB2312" w:hAnsiTheme="minorHAnsi"/>
                <w:b/>
                <w:bCs/>
                <w:sz w:val="32"/>
                <w:vertAlign w:val="baseline"/>
                <w:lang w:val="en-US" w:eastAsia="zh-CN"/>
              </w:rPr>
              <w:t>二级指标</w:t>
            </w:r>
          </w:p>
        </w:tc>
        <w:tc>
          <w:tcPr>
            <w:tcW w:w="1276" w:type="dxa"/>
            <w:vAlign w:val="center"/>
          </w:tcPr>
          <w:p>
            <w:pPr>
              <w:ind w:firstLine="200"/>
              <w:jc w:val="center"/>
              <w:rPr>
                <w:rFonts w:hint="eastAsia" w:ascii="仿宋_GB2312" w:eastAsia="仿宋_GB2312" w:hAnsiTheme="minorHAnsi"/>
                <w:b/>
                <w:bCs/>
                <w:sz w:val="32"/>
                <w:vertAlign w:val="baseline"/>
                <w:lang w:val="en-US" w:eastAsia="zh-CN"/>
              </w:rPr>
            </w:pPr>
            <w:r>
              <w:rPr>
                <w:rFonts w:hint="eastAsia" w:ascii="仿宋_GB2312" w:eastAsia="仿宋_GB2312" w:hAnsiTheme="minorHAnsi"/>
                <w:b/>
                <w:bCs/>
                <w:sz w:val="32"/>
                <w:vertAlign w:val="baseline"/>
                <w:lang w:val="en-US" w:eastAsia="zh-CN"/>
              </w:rPr>
              <w:t>编号</w:t>
            </w:r>
          </w:p>
        </w:tc>
        <w:tc>
          <w:tcPr>
            <w:tcW w:w="2677" w:type="dxa"/>
            <w:vAlign w:val="center"/>
          </w:tcPr>
          <w:p>
            <w:pPr>
              <w:tabs>
                <w:tab w:val="left" w:pos="765"/>
              </w:tabs>
              <w:jc w:val="center"/>
              <w:rPr>
                <w:rFonts w:hint="default" w:ascii="黑体" w:hAnsi="黑体" w:eastAsia="黑体"/>
                <w:b/>
                <w:bCs/>
                <w:sz w:val="32"/>
                <w:vertAlign w:val="baseline"/>
                <w:lang w:val="en-US" w:eastAsia="zh-CN"/>
              </w:rPr>
            </w:pPr>
            <w:r>
              <w:rPr>
                <w:rFonts w:hint="eastAsia" w:ascii="仿宋_GB2312" w:eastAsia="仿宋_GB2312" w:hAnsiTheme="minorHAnsi"/>
                <w:b/>
                <w:bCs/>
                <w:sz w:val="32"/>
                <w:vertAlign w:val="baseline"/>
                <w:lang w:val="en-US" w:eastAsia="zh-CN"/>
              </w:rPr>
              <w:t>支撑材料目录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jc w:val="left"/>
              <w:rPr>
                <w:rFonts w:hint="eastAsia" w:ascii="仿宋_GB2312" w:eastAsia="仿宋_GB2312" w:hAnsiTheme="minorHAnsi"/>
                <w:sz w:val="32"/>
                <w:vertAlign w:val="baseline"/>
                <w:lang w:val="en-US" w:eastAsia="zh-CN"/>
              </w:rPr>
            </w:pPr>
            <w:r>
              <w:rPr>
                <w:rFonts w:hint="eastAsia" w:ascii="仿宋_GB2312" w:eastAsia="仿宋_GB2312" w:hAnsiTheme="minorHAnsi"/>
                <w:sz w:val="32"/>
                <w:vertAlign w:val="baseline"/>
                <w:lang w:val="en-US" w:eastAsia="zh-CN"/>
              </w:rPr>
              <w:t>1.党的领导</w:t>
            </w:r>
          </w:p>
        </w:tc>
        <w:tc>
          <w:tcPr>
            <w:tcW w:w="2439" w:type="dxa"/>
            <w:vMerge w:val="restart"/>
            <w:vAlign w:val="center"/>
          </w:tcPr>
          <w:p>
            <w:pPr>
              <w:jc w:val="left"/>
              <w:rPr>
                <w:rFonts w:hint="eastAsia" w:ascii="仿宋_GB2312" w:eastAsia="仿宋_GB2312" w:hAnsiTheme="minorHAnsi"/>
                <w:sz w:val="32"/>
                <w:vertAlign w:val="baseline"/>
                <w:lang w:val="en-US" w:eastAsia="zh-CN"/>
              </w:rPr>
            </w:pPr>
            <w:r>
              <w:rPr>
                <w:rFonts w:hint="eastAsia" w:ascii="仿宋_GB2312" w:eastAsia="仿宋_GB2312" w:hAnsiTheme="minorHAnsi"/>
                <w:sz w:val="32"/>
                <w:vertAlign w:val="baseline"/>
                <w:lang w:val="en-US" w:eastAsia="zh-CN"/>
              </w:rPr>
              <w:t>1.1党的全面领导和社会主义办学方向</w:t>
            </w:r>
          </w:p>
        </w:tc>
        <w:tc>
          <w:tcPr>
            <w:tcW w:w="1276"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_GB2312" w:eastAsia="仿宋_GB2312" w:hAnsiTheme="minorHAnsi"/>
                <w:sz w:val="32"/>
                <w:vertAlign w:val="baseline"/>
                <w:lang w:val="en-US" w:eastAsia="zh-CN"/>
              </w:rPr>
            </w:pPr>
            <w:r>
              <w:rPr>
                <w:rFonts w:hint="eastAsia" w:ascii="仿宋_GB2312" w:eastAsia="仿宋_GB2312" w:hAnsiTheme="minorHAnsi"/>
                <w:sz w:val="32"/>
                <w:vertAlign w:val="baseline"/>
                <w:lang w:val="en-US" w:eastAsia="zh-CN"/>
              </w:rPr>
              <w:t>1.1.1</w:t>
            </w:r>
          </w:p>
        </w:tc>
        <w:tc>
          <w:tcPr>
            <w:tcW w:w="2677" w:type="dxa"/>
            <w:vAlign w:val="center"/>
          </w:tcPr>
          <w:p>
            <w:pPr>
              <w:tabs>
                <w:tab w:val="left" w:pos="765"/>
              </w:tabs>
              <w:jc w:val="center"/>
              <w:rPr>
                <w:rFonts w:hint="default" w:ascii="黑体" w:hAnsi="黑体" w:eastAsia="黑体"/>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ind w:firstLine="200"/>
              <w:jc w:val="left"/>
              <w:rPr>
                <w:rFonts w:hint="eastAsia" w:ascii="仿宋_GB2312" w:eastAsia="仿宋_GB2312" w:hAnsiTheme="minorHAnsi"/>
                <w:sz w:val="32"/>
                <w:vertAlign w:val="baseline"/>
                <w:lang w:val="en-US" w:eastAsia="zh-CN"/>
              </w:rPr>
            </w:pPr>
          </w:p>
        </w:tc>
        <w:tc>
          <w:tcPr>
            <w:tcW w:w="2439" w:type="dxa"/>
            <w:vMerge w:val="continue"/>
            <w:vAlign w:val="center"/>
          </w:tcPr>
          <w:p>
            <w:pPr>
              <w:ind w:firstLine="200"/>
              <w:jc w:val="left"/>
              <w:rPr>
                <w:rFonts w:hint="eastAsia" w:ascii="仿宋_GB2312" w:eastAsia="仿宋_GB2312" w:hAnsiTheme="minorHAnsi"/>
                <w:sz w:val="32"/>
                <w:vertAlign w:val="baseline"/>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仿宋_GB2312" w:eastAsia="仿宋_GB2312" w:hAnsiTheme="minorHAnsi"/>
                <w:sz w:val="32"/>
                <w:vertAlign w:val="baseline"/>
                <w:lang w:val="en-US" w:eastAsia="zh-CN"/>
              </w:rPr>
            </w:pPr>
            <w:r>
              <w:rPr>
                <w:rFonts w:hint="eastAsia" w:ascii="仿宋_GB2312" w:eastAsia="仿宋_GB2312" w:hAnsiTheme="minorHAnsi"/>
                <w:sz w:val="32"/>
                <w:vertAlign w:val="baseline"/>
                <w:lang w:val="en-US" w:eastAsia="zh-CN"/>
              </w:rPr>
              <w:t>1.1.2</w:t>
            </w:r>
          </w:p>
        </w:tc>
        <w:tc>
          <w:tcPr>
            <w:tcW w:w="2677" w:type="dxa"/>
            <w:vAlign w:val="center"/>
          </w:tcPr>
          <w:p>
            <w:pPr>
              <w:tabs>
                <w:tab w:val="left" w:pos="765"/>
              </w:tabs>
              <w:jc w:val="center"/>
              <w:rPr>
                <w:rFonts w:hint="default" w:ascii="黑体" w:hAnsi="黑体" w:eastAsia="黑体"/>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ind w:firstLine="200"/>
              <w:jc w:val="left"/>
              <w:rPr>
                <w:rFonts w:hint="eastAsia" w:ascii="仿宋_GB2312" w:eastAsia="仿宋_GB2312" w:hAnsiTheme="minorHAnsi"/>
                <w:sz w:val="32"/>
                <w:vertAlign w:val="baseline"/>
                <w:lang w:val="en-US" w:eastAsia="zh-CN"/>
              </w:rPr>
            </w:pPr>
          </w:p>
        </w:tc>
        <w:tc>
          <w:tcPr>
            <w:tcW w:w="2439" w:type="dxa"/>
            <w:vMerge w:val="continue"/>
            <w:vAlign w:val="center"/>
          </w:tcPr>
          <w:p>
            <w:pPr>
              <w:ind w:firstLine="200"/>
              <w:jc w:val="left"/>
              <w:rPr>
                <w:rFonts w:hint="eastAsia" w:ascii="仿宋_GB2312" w:eastAsia="仿宋_GB2312" w:hAnsiTheme="minorHAnsi"/>
                <w:sz w:val="32"/>
                <w:vertAlign w:val="baseline"/>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_GB2312" w:eastAsia="仿宋_GB2312" w:hAnsiTheme="minorHAnsi"/>
                <w:sz w:val="32"/>
                <w:vertAlign w:val="baseline"/>
                <w:lang w:val="en-US" w:eastAsia="zh-CN"/>
              </w:rPr>
            </w:pPr>
            <w:r>
              <w:rPr>
                <w:rFonts w:hint="eastAsia" w:ascii="仿宋_GB2312" w:eastAsia="仿宋_GB2312"/>
                <w:sz w:val="32"/>
                <w:vertAlign w:val="baseline"/>
                <w:lang w:val="en-US" w:eastAsia="zh-CN"/>
              </w:rPr>
              <w:t>...</w:t>
            </w:r>
          </w:p>
        </w:tc>
        <w:tc>
          <w:tcPr>
            <w:tcW w:w="2677" w:type="dxa"/>
            <w:vAlign w:val="center"/>
          </w:tcPr>
          <w:p>
            <w:pPr>
              <w:tabs>
                <w:tab w:val="left" w:pos="765"/>
              </w:tabs>
              <w:jc w:val="center"/>
              <w:rPr>
                <w:rFonts w:hint="default" w:ascii="黑体" w:hAnsi="黑体" w:eastAsia="黑体"/>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jc w:val="left"/>
              <w:rPr>
                <w:rFonts w:hint="eastAsia" w:ascii="仿宋_GB2312" w:eastAsia="仿宋_GB2312" w:hAnsiTheme="minorHAnsi"/>
                <w:sz w:val="32"/>
                <w:vertAlign w:val="baseline"/>
                <w:lang w:val="en-US" w:eastAsia="zh-CN"/>
              </w:rPr>
            </w:pPr>
            <w:r>
              <w:rPr>
                <w:rFonts w:hint="eastAsia" w:ascii="仿宋_GB2312" w:eastAsia="仿宋_GB2312" w:hAnsiTheme="minorHAnsi"/>
                <w:sz w:val="32"/>
                <w:vertAlign w:val="baseline"/>
                <w:lang w:val="en-US" w:eastAsia="zh-CN"/>
              </w:rPr>
              <w:t>2.质量保障能力</w:t>
            </w:r>
          </w:p>
        </w:tc>
        <w:tc>
          <w:tcPr>
            <w:tcW w:w="2439" w:type="dxa"/>
            <w:vMerge w:val="restart"/>
            <w:vAlign w:val="center"/>
          </w:tcPr>
          <w:p>
            <w:pPr>
              <w:keepNext w:val="0"/>
              <w:keepLines w:val="0"/>
              <w:pageBreakBefore w:val="0"/>
              <w:widowControl w:val="0"/>
              <w:kinsoku/>
              <w:wordWrap/>
              <w:overflowPunct/>
              <w:topLinePunct w:val="0"/>
              <w:autoSpaceDE/>
              <w:autoSpaceDN/>
              <w:bidi w:val="0"/>
              <w:adjustRightInd/>
              <w:snapToGrid/>
              <w:ind w:firstLine="0"/>
              <w:jc w:val="left"/>
              <w:textAlignment w:val="auto"/>
              <w:rPr>
                <w:rFonts w:hint="default" w:ascii="仿宋_GB2312" w:eastAsia="仿宋_GB2312"/>
                <w:sz w:val="32"/>
                <w:vertAlign w:val="baseline"/>
                <w:lang w:val="en-US" w:eastAsia="zh-CN"/>
              </w:rPr>
            </w:pPr>
            <w:r>
              <w:rPr>
                <w:rFonts w:hint="eastAsia" w:ascii="仿宋_GB2312" w:eastAsia="仿宋_GB2312"/>
                <w:sz w:val="32"/>
                <w:vertAlign w:val="baseline"/>
                <w:lang w:val="en-US" w:eastAsia="zh-CN"/>
              </w:rPr>
              <w:t>2.1质保理念</w:t>
            </w:r>
          </w:p>
        </w:tc>
        <w:tc>
          <w:tcPr>
            <w:tcW w:w="1276"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_GB2312" w:eastAsia="仿宋_GB2312"/>
                <w:sz w:val="32"/>
                <w:vertAlign w:val="baseline"/>
                <w:lang w:val="en-US" w:eastAsia="zh-CN"/>
              </w:rPr>
            </w:pPr>
            <w:r>
              <w:rPr>
                <w:rFonts w:hint="eastAsia" w:ascii="仿宋_GB2312" w:eastAsia="仿宋_GB2312"/>
                <w:sz w:val="32"/>
                <w:vertAlign w:val="baseline"/>
                <w:lang w:val="en-US" w:eastAsia="zh-CN"/>
              </w:rPr>
              <w:t>2.1.1</w:t>
            </w:r>
          </w:p>
        </w:tc>
        <w:tc>
          <w:tcPr>
            <w:tcW w:w="2677" w:type="dxa"/>
            <w:vAlign w:val="center"/>
          </w:tcPr>
          <w:p>
            <w:pPr>
              <w:tabs>
                <w:tab w:val="left" w:pos="765"/>
              </w:tabs>
              <w:jc w:val="center"/>
              <w:rPr>
                <w:rFonts w:hint="default" w:ascii="黑体" w:hAnsi="黑体" w:eastAsia="黑体"/>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tabs>
                <w:tab w:val="left" w:pos="765"/>
              </w:tabs>
              <w:jc w:val="center"/>
              <w:rPr>
                <w:rFonts w:hint="default" w:ascii="黑体" w:hAnsi="黑体" w:eastAsia="黑体"/>
                <w:sz w:val="32"/>
                <w:vertAlign w:val="baseline"/>
                <w:lang w:val="en-US" w:eastAsia="zh-CN"/>
              </w:rPr>
            </w:pPr>
          </w:p>
        </w:tc>
        <w:tc>
          <w:tcPr>
            <w:tcW w:w="2439" w:type="dxa"/>
            <w:vMerge w:val="continue"/>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_GB2312" w:eastAsia="仿宋_GB2312"/>
                <w:sz w:val="32"/>
                <w:vertAlign w:val="baseline"/>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_GB2312" w:eastAsia="仿宋_GB2312"/>
                <w:sz w:val="32"/>
                <w:vertAlign w:val="baseline"/>
                <w:lang w:val="en-US" w:eastAsia="zh-CN"/>
              </w:rPr>
            </w:pPr>
            <w:r>
              <w:rPr>
                <w:rFonts w:hint="eastAsia" w:ascii="仿宋_GB2312" w:eastAsia="仿宋_GB2312"/>
                <w:sz w:val="32"/>
                <w:vertAlign w:val="baseline"/>
                <w:lang w:val="en-US" w:eastAsia="zh-CN"/>
              </w:rPr>
              <w:t>2.1.2</w:t>
            </w:r>
          </w:p>
        </w:tc>
        <w:tc>
          <w:tcPr>
            <w:tcW w:w="2677" w:type="dxa"/>
            <w:vAlign w:val="center"/>
          </w:tcPr>
          <w:p>
            <w:pPr>
              <w:tabs>
                <w:tab w:val="left" w:pos="765"/>
              </w:tabs>
              <w:jc w:val="center"/>
              <w:rPr>
                <w:rFonts w:hint="default" w:ascii="黑体" w:hAnsi="黑体" w:eastAsia="黑体"/>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tabs>
                <w:tab w:val="left" w:pos="765"/>
              </w:tabs>
              <w:jc w:val="center"/>
              <w:rPr>
                <w:rFonts w:hint="default" w:ascii="黑体" w:hAnsi="黑体" w:eastAsia="黑体"/>
                <w:sz w:val="32"/>
                <w:vertAlign w:val="baseline"/>
                <w:lang w:val="en-US" w:eastAsia="zh-CN"/>
              </w:rPr>
            </w:pPr>
          </w:p>
        </w:tc>
        <w:tc>
          <w:tcPr>
            <w:tcW w:w="2439" w:type="dxa"/>
            <w:vMerge w:val="continue"/>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_GB2312" w:eastAsia="仿宋_GB2312"/>
                <w:sz w:val="32"/>
                <w:vertAlign w:val="baseline"/>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ascii="仿宋_GB2312" w:eastAsia="仿宋_GB2312"/>
                <w:sz w:val="32"/>
                <w:vertAlign w:val="baseline"/>
                <w:lang w:val="en-US" w:eastAsia="zh-CN"/>
              </w:rPr>
            </w:pPr>
            <w:r>
              <w:rPr>
                <w:rFonts w:hint="eastAsia" w:ascii="仿宋_GB2312" w:eastAsia="仿宋_GB2312"/>
                <w:sz w:val="32"/>
                <w:vertAlign w:val="baseline"/>
                <w:lang w:val="en-US" w:eastAsia="zh-CN"/>
              </w:rPr>
              <w:t>...</w:t>
            </w:r>
          </w:p>
        </w:tc>
        <w:tc>
          <w:tcPr>
            <w:tcW w:w="2677" w:type="dxa"/>
            <w:vAlign w:val="center"/>
          </w:tcPr>
          <w:p>
            <w:pPr>
              <w:tabs>
                <w:tab w:val="left" w:pos="765"/>
              </w:tabs>
              <w:jc w:val="center"/>
              <w:rPr>
                <w:rFonts w:hint="default" w:ascii="黑体" w:hAnsi="黑体" w:eastAsia="黑体"/>
                <w:sz w:val="32"/>
                <w:vertAlign w:val="baseline"/>
                <w:lang w:val="en-US" w:eastAsia="zh-CN"/>
              </w:rPr>
            </w:pPr>
          </w:p>
        </w:tc>
      </w:tr>
    </w:tbl>
    <w:p>
      <w:pPr>
        <w:tabs>
          <w:tab w:val="left" w:pos="765"/>
        </w:tabs>
        <w:rPr>
          <w:rFonts w:ascii="黑体" w:hAnsi="黑体" w:eastAsia="黑体"/>
          <w:sz w:val="32"/>
        </w:rPr>
      </w:pPr>
      <w:r>
        <w:rPr>
          <w:rFonts w:hint="eastAsia" w:ascii="黑体" w:hAnsi="黑体" w:eastAsia="黑体"/>
          <w:sz w:val="32"/>
        </w:rPr>
        <w:t>附</w:t>
      </w:r>
      <w:r>
        <w:rPr>
          <w:rFonts w:hint="eastAsia" w:ascii="Times New Roman" w:hAnsi="Times New Roman" w:eastAsia="黑体" w:cs="Times New Roman"/>
          <w:sz w:val="32"/>
        </w:rPr>
        <w:t>3</w:t>
      </w:r>
      <w:r>
        <w:rPr>
          <w:rFonts w:hint="eastAsia" w:ascii="黑体" w:hAnsi="黑体" w:eastAsia="黑体"/>
          <w:sz w:val="32"/>
        </w:rPr>
        <w:t>:《自评报告》数据与《</w:t>
      </w:r>
      <w:r>
        <w:rPr>
          <w:rFonts w:hint="eastAsia" w:ascii="黑体" w:hAnsi="黑体" w:eastAsia="黑体"/>
          <w:sz w:val="32"/>
          <w:lang w:val="en-US" w:eastAsia="zh-CN"/>
        </w:rPr>
        <w:t>学院</w:t>
      </w:r>
      <w:r>
        <w:rPr>
          <w:rFonts w:hint="eastAsia" w:ascii="黑体" w:hAnsi="黑体" w:eastAsia="黑体"/>
          <w:sz w:val="32"/>
        </w:rPr>
        <w:t>本科教学状态数据分析报告》数据不一致的情况说明</w:t>
      </w:r>
    </w:p>
    <w:p>
      <w:pPr>
        <w:tabs>
          <w:tab w:val="left" w:pos="765"/>
        </w:tabs>
        <w:rPr>
          <w:rFonts w:ascii="黑体" w:hAnsi="黑体" w:eastAsia="黑体"/>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93439D-3149-475B-AC0B-1F6B135753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3444E47-13A8-4570-A263-264C5548B585}"/>
  </w:font>
  <w:font w:name="方正小标宋_GBK">
    <w:altName w:val="微软雅黑"/>
    <w:panose1 w:val="03000509000000000000"/>
    <w:charset w:val="86"/>
    <w:family w:val="script"/>
    <w:pitch w:val="default"/>
    <w:sig w:usb0="00000000" w:usb1="00000000" w:usb2="00000000" w:usb3="00000000" w:csb0="00040000" w:csb1="00000000"/>
    <w:embedRegular r:id="rId3" w:fontKey="{A6AEA159-ADF9-4597-88B1-37FE844FD0D3}"/>
  </w:font>
  <w:font w:name="仿宋_GB2312">
    <w:panose1 w:val="02010609030101010101"/>
    <w:charset w:val="86"/>
    <w:family w:val="modern"/>
    <w:pitch w:val="default"/>
    <w:sig w:usb0="00000001" w:usb1="080E0000" w:usb2="00000000" w:usb3="00000000" w:csb0="00040000" w:csb1="00000000"/>
    <w:embedRegular r:id="rId4" w:fontKey="{2CCA18DA-CCFC-49FD-AAEE-E49B1EE89182}"/>
  </w:font>
  <w:font w:name="方正小标宋简体">
    <w:panose1 w:val="02000000000000000000"/>
    <w:charset w:val="86"/>
    <w:family w:val="script"/>
    <w:pitch w:val="default"/>
    <w:sig w:usb0="00000001" w:usb1="080E0000" w:usb2="00000000" w:usb3="00000000" w:csb0="00040000" w:csb1="00000000"/>
    <w:embedRegular r:id="rId5" w:fontKey="{81C7DDFF-1B2F-457B-9ECF-1942979A7A32}"/>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1ZTQ0NzAwN2M1MDBlOTA4NmE1N2FhZWZiMTE4NzMifQ=="/>
  </w:docVars>
  <w:rsids>
    <w:rsidRoot w:val="00BD17AF"/>
    <w:rsid w:val="000007AF"/>
    <w:rsid w:val="0001253F"/>
    <w:rsid w:val="00040729"/>
    <w:rsid w:val="000D4F84"/>
    <w:rsid w:val="000D749D"/>
    <w:rsid w:val="000E09B3"/>
    <w:rsid w:val="000E6E20"/>
    <w:rsid w:val="000E7C31"/>
    <w:rsid w:val="00106B8E"/>
    <w:rsid w:val="00120937"/>
    <w:rsid w:val="00133AD5"/>
    <w:rsid w:val="00152E81"/>
    <w:rsid w:val="00153597"/>
    <w:rsid w:val="001717DD"/>
    <w:rsid w:val="00175974"/>
    <w:rsid w:val="001D1E52"/>
    <w:rsid w:val="001E2316"/>
    <w:rsid w:val="001F1D85"/>
    <w:rsid w:val="00204156"/>
    <w:rsid w:val="0021408E"/>
    <w:rsid w:val="00215201"/>
    <w:rsid w:val="0023748C"/>
    <w:rsid w:val="00255B30"/>
    <w:rsid w:val="002611AF"/>
    <w:rsid w:val="00263B9E"/>
    <w:rsid w:val="002717E9"/>
    <w:rsid w:val="00286656"/>
    <w:rsid w:val="002925EE"/>
    <w:rsid w:val="00295FB2"/>
    <w:rsid w:val="002B2AC8"/>
    <w:rsid w:val="002B3FB2"/>
    <w:rsid w:val="002C4A2F"/>
    <w:rsid w:val="002E28BC"/>
    <w:rsid w:val="00304D1B"/>
    <w:rsid w:val="00314ACD"/>
    <w:rsid w:val="003A35FF"/>
    <w:rsid w:val="003B2B07"/>
    <w:rsid w:val="003C1FD5"/>
    <w:rsid w:val="003C73C0"/>
    <w:rsid w:val="003D1550"/>
    <w:rsid w:val="004329B4"/>
    <w:rsid w:val="0044414A"/>
    <w:rsid w:val="00463C76"/>
    <w:rsid w:val="00472968"/>
    <w:rsid w:val="00481F27"/>
    <w:rsid w:val="004A0EF4"/>
    <w:rsid w:val="004B3635"/>
    <w:rsid w:val="005060F5"/>
    <w:rsid w:val="00511473"/>
    <w:rsid w:val="00513F75"/>
    <w:rsid w:val="00514293"/>
    <w:rsid w:val="00522008"/>
    <w:rsid w:val="0052625D"/>
    <w:rsid w:val="00557E4C"/>
    <w:rsid w:val="00560DDA"/>
    <w:rsid w:val="00564623"/>
    <w:rsid w:val="00565DB2"/>
    <w:rsid w:val="00582D62"/>
    <w:rsid w:val="005F2899"/>
    <w:rsid w:val="00605DDE"/>
    <w:rsid w:val="00610E3D"/>
    <w:rsid w:val="0062633B"/>
    <w:rsid w:val="00627EC9"/>
    <w:rsid w:val="0064687D"/>
    <w:rsid w:val="006748DB"/>
    <w:rsid w:val="006763BB"/>
    <w:rsid w:val="00697426"/>
    <w:rsid w:val="007145DC"/>
    <w:rsid w:val="00737C93"/>
    <w:rsid w:val="00742FBB"/>
    <w:rsid w:val="00754CAE"/>
    <w:rsid w:val="00781E85"/>
    <w:rsid w:val="00791BC8"/>
    <w:rsid w:val="007A1093"/>
    <w:rsid w:val="007C7AA0"/>
    <w:rsid w:val="007D742B"/>
    <w:rsid w:val="00816039"/>
    <w:rsid w:val="00835F63"/>
    <w:rsid w:val="00855321"/>
    <w:rsid w:val="0088317C"/>
    <w:rsid w:val="0089003D"/>
    <w:rsid w:val="008D083C"/>
    <w:rsid w:val="008E20E9"/>
    <w:rsid w:val="008F33E7"/>
    <w:rsid w:val="009055F8"/>
    <w:rsid w:val="009242EC"/>
    <w:rsid w:val="00975CF0"/>
    <w:rsid w:val="009C1306"/>
    <w:rsid w:val="00A36262"/>
    <w:rsid w:val="00A67A9F"/>
    <w:rsid w:val="00A82B59"/>
    <w:rsid w:val="00A96F11"/>
    <w:rsid w:val="00AB37D3"/>
    <w:rsid w:val="00AE183C"/>
    <w:rsid w:val="00AF39CB"/>
    <w:rsid w:val="00B07A28"/>
    <w:rsid w:val="00B23C66"/>
    <w:rsid w:val="00B35491"/>
    <w:rsid w:val="00BA3351"/>
    <w:rsid w:val="00BC711B"/>
    <w:rsid w:val="00BD17AF"/>
    <w:rsid w:val="00BE32F0"/>
    <w:rsid w:val="00BE6B00"/>
    <w:rsid w:val="00BF147B"/>
    <w:rsid w:val="00BF7D71"/>
    <w:rsid w:val="00C16284"/>
    <w:rsid w:val="00C349BC"/>
    <w:rsid w:val="00C4606F"/>
    <w:rsid w:val="00C510D1"/>
    <w:rsid w:val="00C65F52"/>
    <w:rsid w:val="00C92820"/>
    <w:rsid w:val="00CA0EA0"/>
    <w:rsid w:val="00CC7D6D"/>
    <w:rsid w:val="00CF5922"/>
    <w:rsid w:val="00D11FE5"/>
    <w:rsid w:val="00D2076F"/>
    <w:rsid w:val="00D31D20"/>
    <w:rsid w:val="00D31E47"/>
    <w:rsid w:val="00D3542D"/>
    <w:rsid w:val="00D36F3C"/>
    <w:rsid w:val="00D533F0"/>
    <w:rsid w:val="00D955B7"/>
    <w:rsid w:val="00DE0944"/>
    <w:rsid w:val="00E37614"/>
    <w:rsid w:val="00E4097B"/>
    <w:rsid w:val="00E4476D"/>
    <w:rsid w:val="00E54D7C"/>
    <w:rsid w:val="00E710D5"/>
    <w:rsid w:val="00E731FF"/>
    <w:rsid w:val="00ED7D13"/>
    <w:rsid w:val="00EF1F37"/>
    <w:rsid w:val="00F264BA"/>
    <w:rsid w:val="00F447D7"/>
    <w:rsid w:val="00F50859"/>
    <w:rsid w:val="00F50D33"/>
    <w:rsid w:val="00F639EE"/>
    <w:rsid w:val="00F709F0"/>
    <w:rsid w:val="00FC37F3"/>
    <w:rsid w:val="00FE7913"/>
    <w:rsid w:val="00FF06D1"/>
    <w:rsid w:val="03406D51"/>
    <w:rsid w:val="17FA45E6"/>
    <w:rsid w:val="2DE86C4C"/>
    <w:rsid w:val="34A35D81"/>
    <w:rsid w:val="44136E5D"/>
    <w:rsid w:val="6F114A87"/>
    <w:rsid w:val="6F687BD3"/>
    <w:rsid w:val="77443975"/>
    <w:rsid w:val="7963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kern w:val="2"/>
      <w:sz w:val="18"/>
      <w:szCs w:val="18"/>
    </w:rPr>
  </w:style>
  <w:style w:type="character" w:customStyle="1" w:styleId="12">
    <w:name w:val="页脚 字符"/>
    <w:basedOn w:val="9"/>
    <w:link w:val="4"/>
    <w:qFormat/>
    <w:uiPriority w:val="99"/>
    <w:rPr>
      <w:kern w:val="2"/>
      <w:sz w:val="18"/>
      <w:szCs w:val="18"/>
    </w:rPr>
  </w:style>
  <w:style w:type="character" w:customStyle="1" w:styleId="13">
    <w:name w:val="批注框文本 字符"/>
    <w:basedOn w:val="9"/>
    <w:link w:val="3"/>
    <w:semiHidden/>
    <w:qFormat/>
    <w:uiPriority w:val="99"/>
    <w:rPr>
      <w:kern w:val="2"/>
      <w:sz w:val="18"/>
      <w:szCs w:val="18"/>
    </w:rPr>
  </w:style>
  <w:style w:type="character" w:customStyle="1" w:styleId="14">
    <w:name w:val="批注文字 字符"/>
    <w:basedOn w:val="9"/>
    <w:link w:val="2"/>
    <w:semiHidden/>
    <w:qFormat/>
    <w:uiPriority w:val="99"/>
    <w:rPr>
      <w:kern w:val="2"/>
      <w:sz w:val="21"/>
      <w:szCs w:val="22"/>
    </w:rPr>
  </w:style>
  <w:style w:type="character" w:customStyle="1" w:styleId="15">
    <w:name w:val="批注主题 字符"/>
    <w:basedOn w:val="14"/>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5629</Words>
  <Characters>5726</Characters>
  <Lines>41</Lines>
  <Paragraphs>11</Paragraphs>
  <TotalTime>0</TotalTime>
  <ScaleCrop>false</ScaleCrop>
  <LinksUpToDate>false</LinksUpToDate>
  <CharactersWithSpaces>5842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2023-02-20T06:24:00Z</dcterms:created>
  <dc:creator>oaadmin</dc:creator>
  <cp:lastModifiedBy>橘栀</cp:lastModifiedBy>
  <dcterms:modified xsi:type="dcterms:W3CDTF">2023-09-08T03:58:47Z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0E67E5C569354BEAB0F53C37F77AC22F_13</vt:lpwstr>
  </property>
</Properties>
</file>