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ind w:right="776" w:firstLine="0"/>
        <w:rPr>
          <w:rFonts w:hint="eastAsia" w:eastAsia="方正黑体_GBK"/>
        </w:rPr>
      </w:pPr>
      <w:r>
        <w:rPr>
          <w:rFonts w:hint="eastAsia" w:eastAsia="方正黑体_GBK"/>
        </w:rPr>
        <w:t>附件4</w:t>
      </w:r>
    </w:p>
    <w:p>
      <w:pPr>
        <w:wordWrap w:val="0"/>
        <w:ind w:right="776" w:firstLine="0"/>
        <w:rPr>
          <w:rFonts w:hint="eastAsia" w:eastAsia="方正黑体_GBK"/>
        </w:rPr>
      </w:pPr>
    </w:p>
    <w:p>
      <w:pPr>
        <w:ind w:firstLine="0"/>
        <w:jc w:val="center"/>
        <w:rPr>
          <w:rFonts w:hint="eastAsia" w:ascii="方正小标宋_GBK" w:eastAsia="方正小标宋_GBK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sz w:val="36"/>
          <w:szCs w:val="36"/>
        </w:rPr>
        <w:t>13个先进制造业集群发展的重点方向和领域</w:t>
      </w:r>
    </w:p>
    <w:bookmarkEnd w:id="0"/>
    <w:p>
      <w:pPr>
        <w:wordWrap w:val="0"/>
        <w:ind w:right="776" w:firstLine="0"/>
        <w:rPr>
          <w:rFonts w:hint="eastAsia" w:eastAsia="方正黑体_GBK"/>
        </w:rPr>
      </w:pPr>
    </w:p>
    <w:tbl>
      <w:tblPr>
        <w:tblStyle w:val="2"/>
        <w:tblW w:w="8874" w:type="dxa"/>
        <w:jc w:val="center"/>
        <w:tblInd w:w="-1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947"/>
        <w:gridCol w:w="50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b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snapToGrid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b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snapToGrid/>
                <w:color w:val="000000"/>
                <w:sz w:val="24"/>
                <w:szCs w:val="24"/>
              </w:rPr>
              <w:t>集群</w:t>
            </w:r>
          </w:p>
        </w:tc>
        <w:tc>
          <w:tcPr>
            <w:tcW w:w="5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b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snapToGrid/>
                <w:color w:val="000000"/>
                <w:sz w:val="24"/>
                <w:szCs w:val="24"/>
              </w:rPr>
              <w:t>重点方向和领域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新型电力(新能源)装备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光伏发电、风电发电、新型电力装备等。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工程机械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工程机械关键技术及产品、高端零部件。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3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物联网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感知、传输、信息处理和软件与应用集成，重点领域应用。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4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高端纺织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纺织纤维新材料、先进纺织加工技术、高性能产业用纺织品、高端纺织机械、品牌服装家纺等。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前沿新材料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石墨烯、碳纤维和纳米材料。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生物医药和新型医疗器械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生物药、化学药、现代中药和新型医疗器械。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7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集成电路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包括集成电路设计、制造、封测以及关键装备和材料。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8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海工装备和高技术船舶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海洋工程装备、高技术船舶以及船舶配套。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高端装备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机器人及增材制造装备、数控加工装备、轨道交通装备以及航空航天装备。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节能环保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节能技术装备、环保技术装备和资源循环利用技术装备。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核心信息技术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高端软件、新一代软件和人工智能。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汽车及零部件（含新能源汽车）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新能源汽车、智能网联汽车和节能汽车。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新型显示</w:t>
            </w:r>
          </w:p>
        </w:tc>
        <w:tc>
          <w:tcPr>
            <w:tcW w:w="5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>
              <w:rPr>
                <w:rFonts w:eastAsia="宋体"/>
                <w:snapToGrid/>
                <w:color w:val="000000"/>
                <w:sz w:val="24"/>
                <w:szCs w:val="24"/>
              </w:rPr>
              <w:t>新一代显示技术、印刷显示技术、先进背板技术等。</w:t>
            </w:r>
          </w:p>
        </w:tc>
      </w:tr>
    </w:tbl>
    <w:p>
      <w:pPr>
        <w:wordWrap w:val="0"/>
        <w:ind w:right="776" w:firstLine="0"/>
        <w:rPr>
          <w:rFonts w:hint="eastAsia" w:eastAsia="方正黑体_GBK"/>
        </w:rPr>
      </w:pPr>
    </w:p>
    <w:p>
      <w:pPr>
        <w:wordWrap w:val="0"/>
        <w:ind w:right="776" w:firstLine="0"/>
        <w:rPr>
          <w:rFonts w:hint="eastAsia" w:eastAsia="方正黑体_GBK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42366"/>
    <w:rsid w:val="110D2DB1"/>
    <w:rsid w:val="5B8B6FEE"/>
    <w:rsid w:val="701423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宗小兔"/>
    <w:basedOn w:val="1"/>
    <w:qFormat/>
    <w:uiPriority w:val="0"/>
    <w:rPr>
      <w:rFonts w:ascii="Times New Roman" w:hAnsi="Times New Roman" w:eastAsia="仿宋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2019-04-30T01:37:00Z</dcterms:created>
  <dc:creator>宗小兔</dc:creator>
  <cp:lastModifiedBy>宗小兔</cp:lastModifiedBy>
  <dcterms:modified xsi:type="dcterms:W3CDTF">2019-04-30T01:38:10Z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