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napToGrid w:val="0"/>
        <w:spacing w:before="242" w:line="440" w:lineRule="exact"/>
        <w:rPr>
          <w:rFonts w:asciiTheme="minorEastAsia" w:hAnsiTheme="minorEastAsia" w:cstheme="minorBidi"/>
          <w:b/>
          <w:bCs/>
          <w:color w:val="000000"/>
          <w:sz w:val="28"/>
          <w:lang w:eastAsia="zh-CN"/>
        </w:rPr>
      </w:pPr>
      <w:r>
        <w:rPr>
          <w:rFonts w:asciiTheme="minorEastAsia" w:hAnsiTheme="minorEastAsia" w:cstheme="minorBidi"/>
          <w:b/>
          <w:bCs/>
          <w:color w:val="000000"/>
          <w:sz w:val="28"/>
          <w:lang w:eastAsia="zh-CN"/>
        </w:rPr>
        <w:t>附件</w:t>
      </w:r>
    </w:p>
    <w:p>
      <w:pPr>
        <w:widowControl w:val="0"/>
        <w:autoSpaceDE w:val="0"/>
        <w:autoSpaceDN w:val="0"/>
        <w:adjustRightInd w:val="0"/>
        <w:snapToGrid w:val="0"/>
        <w:spacing w:after="156" w:afterLines="50" w:line="440" w:lineRule="exact"/>
        <w:jc w:val="center"/>
        <w:rPr>
          <w:rFonts w:asciiTheme="minorEastAsia" w:hAnsiTheme="minorEastAsia" w:cstheme="minorBidi"/>
          <w:b/>
          <w:color w:val="000000"/>
          <w:sz w:val="32"/>
          <w:szCs w:val="28"/>
          <w:lang w:eastAsia="zh-CN"/>
        </w:rPr>
      </w:pPr>
      <w:r>
        <w:rPr>
          <w:rFonts w:hint="eastAsia" w:asciiTheme="minorEastAsia" w:hAnsiTheme="minorEastAsia" w:cstheme="minorBidi"/>
          <w:b/>
          <w:color w:val="000000"/>
          <w:sz w:val="32"/>
          <w:szCs w:val="28"/>
          <w:lang w:eastAsia="zh-CN"/>
        </w:rPr>
        <w:t>南京航空航天大学</w:t>
      </w:r>
      <w:r>
        <w:rPr>
          <w:rFonts w:hint="eastAsia" w:asciiTheme="minorEastAsia" w:hAnsiTheme="minorEastAsia" w:cstheme="minorBidi"/>
          <w:b/>
          <w:color w:val="000000"/>
          <w:sz w:val="32"/>
          <w:szCs w:val="28"/>
          <w:lang w:val="en-US" w:eastAsia="zh-CN"/>
        </w:rPr>
        <w:t>高水平</w:t>
      </w:r>
      <w:r>
        <w:rPr>
          <w:rFonts w:hint="eastAsia" w:asciiTheme="minorEastAsia" w:hAnsiTheme="minorEastAsia" w:cstheme="minorBidi"/>
          <w:b/>
          <w:color w:val="000000"/>
          <w:sz w:val="32"/>
          <w:szCs w:val="28"/>
          <w:lang w:eastAsia="zh-CN"/>
        </w:rPr>
        <w:t>教学竞赛认定类别（</w:t>
      </w:r>
      <w:r>
        <w:rPr>
          <w:rFonts w:hint="eastAsia" w:asciiTheme="minorEastAsia" w:hAnsiTheme="minorEastAsia" w:cstheme="minorBidi"/>
          <w:b/>
          <w:color w:val="000000"/>
          <w:sz w:val="32"/>
          <w:szCs w:val="28"/>
          <w:lang w:val="en-US" w:eastAsia="zh-CN"/>
        </w:rPr>
        <w:t>2023年版</w:t>
      </w:r>
      <w:r>
        <w:rPr>
          <w:rFonts w:hint="eastAsia" w:asciiTheme="minorEastAsia" w:hAnsiTheme="minorEastAsia" w:cstheme="minorBidi"/>
          <w:b/>
          <w:color w:val="000000"/>
          <w:sz w:val="32"/>
          <w:szCs w:val="28"/>
          <w:lang w:eastAsia="zh-CN"/>
        </w:rPr>
        <w:t>）</w:t>
      </w:r>
    </w:p>
    <w:tbl>
      <w:tblPr>
        <w:tblStyle w:val="2"/>
        <w:tblW w:w="12677" w:type="dxa"/>
        <w:jc w:val="center"/>
        <w:tblLayout w:type="fixed"/>
        <w:tblCellMar>
          <w:top w:w="0" w:type="dxa"/>
          <w:left w:w="108" w:type="dxa"/>
          <w:bottom w:w="0" w:type="dxa"/>
          <w:right w:w="108" w:type="dxa"/>
        </w:tblCellMar>
      </w:tblPr>
      <w:tblGrid>
        <w:gridCol w:w="645"/>
        <w:gridCol w:w="4422"/>
        <w:gridCol w:w="1100"/>
        <w:gridCol w:w="4078"/>
        <w:gridCol w:w="2432"/>
      </w:tblGrid>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spacing w:line="400" w:lineRule="exact"/>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序号</w:t>
            </w:r>
          </w:p>
        </w:tc>
        <w:tc>
          <w:tcPr>
            <w:tcW w:w="4422"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spacing w:line="400" w:lineRule="exact"/>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教学类竞赛</w:t>
            </w:r>
          </w:p>
        </w:tc>
        <w:tc>
          <w:tcPr>
            <w:tcW w:w="1100"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spacing w:line="400" w:lineRule="exact"/>
              <w:jc w:val="center"/>
              <w:textAlignment w:val="center"/>
              <w:rPr>
                <w:rFonts w:hint="eastAsia" w:ascii="仿宋" w:hAnsi="仿宋" w:eastAsia="仿宋" w:cs="仿宋"/>
                <w:b/>
                <w:bCs/>
                <w:color w:val="000000"/>
                <w:sz w:val="24"/>
                <w:szCs w:val="24"/>
                <w:lang w:eastAsia="zh-CN"/>
              </w:rPr>
            </w:pPr>
            <w:r>
              <w:rPr>
                <w:rFonts w:hint="eastAsia" w:ascii="仿宋" w:hAnsi="仿宋" w:eastAsia="仿宋" w:cs="仿宋"/>
                <w:b/>
                <w:bCs/>
                <w:color w:val="000000"/>
                <w:sz w:val="24"/>
                <w:szCs w:val="24"/>
                <w:lang w:eastAsia="zh-CN"/>
              </w:rPr>
              <w:t>层次</w:t>
            </w:r>
          </w:p>
        </w:tc>
        <w:tc>
          <w:tcPr>
            <w:tcW w:w="4078"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spacing w:line="400" w:lineRule="exact"/>
              <w:jc w:val="center"/>
              <w:textAlignment w:val="center"/>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主办单位</w:t>
            </w:r>
          </w:p>
        </w:tc>
        <w:tc>
          <w:tcPr>
            <w:tcW w:w="2432"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pPr>
              <w:spacing w:line="400" w:lineRule="exact"/>
              <w:jc w:val="center"/>
              <w:textAlignment w:val="center"/>
              <w:rPr>
                <w:rFonts w:hint="default" w:ascii="仿宋" w:hAnsi="仿宋" w:eastAsia="仿宋" w:cs="仿宋"/>
                <w:b/>
                <w:bCs/>
                <w:color w:val="000000"/>
                <w:sz w:val="24"/>
                <w:szCs w:val="24"/>
                <w:lang w:val="en-US" w:eastAsia="zh-CN"/>
              </w:rPr>
            </w:pPr>
            <w:r>
              <w:rPr>
                <w:rFonts w:hint="eastAsia" w:ascii="仿宋" w:hAnsi="仿宋" w:eastAsia="仿宋" w:cs="仿宋"/>
                <w:b/>
                <w:bCs/>
                <w:color w:val="000000"/>
                <w:sz w:val="24"/>
                <w:szCs w:val="24"/>
                <w:lang w:val="en-US" w:eastAsia="zh-CN"/>
              </w:rPr>
              <w:t>备注</w:t>
            </w: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1</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全国高校教师教学创新大赛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国A+</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中国高等教育学会</w:t>
            </w:r>
          </w:p>
        </w:tc>
        <w:tc>
          <w:tcPr>
            <w:tcW w:w="2432" w:type="dxa"/>
            <w:vMerge w:val="restart"/>
            <w:tcBorders>
              <w:top w:val="single" w:color="000000" w:sz="4" w:space="0"/>
              <w:left w:val="single" w:color="000000" w:sz="4" w:space="0"/>
              <w:right w:val="single" w:color="000000" w:sz="4" w:space="0"/>
            </w:tcBorders>
            <w:vAlign w:val="center"/>
          </w:tcPr>
          <w:p>
            <w:pPr>
              <w:spacing w:line="40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全国普通高校教师教学竞赛状态数据统计的项目</w:t>
            </w:r>
            <w:r>
              <w:rPr>
                <w:rFonts w:hint="eastAsia" w:ascii="仿宋" w:hAnsi="仿宋" w:eastAsia="仿宋" w:cs="仿宋"/>
                <w:color w:val="000000"/>
                <w:sz w:val="24"/>
                <w:szCs w:val="24"/>
                <w:lang w:val="en-US" w:eastAsia="zh-CN"/>
              </w:rPr>
              <w:t>(2022版）</w:t>
            </w: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2</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全国高校青年教师教学竞赛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国A+</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中华全国总工会、教育部联合</w:t>
            </w:r>
          </w:p>
        </w:tc>
        <w:tc>
          <w:tcPr>
            <w:tcW w:w="2432" w:type="dxa"/>
            <w:vMerge w:val="continue"/>
            <w:tcBorders>
              <w:left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3</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全国高校辅导员素质能力大赛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国A</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教育部思想政治工作司</w:t>
            </w:r>
          </w:p>
        </w:tc>
        <w:tc>
          <w:tcPr>
            <w:tcW w:w="2432" w:type="dxa"/>
            <w:vMerge w:val="continue"/>
            <w:tcBorders>
              <w:left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4</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全国高校思想政治理论课教学展示活动</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国A</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教育部</w:t>
            </w:r>
          </w:p>
        </w:tc>
        <w:tc>
          <w:tcPr>
            <w:tcW w:w="2432" w:type="dxa"/>
            <w:vMerge w:val="continue"/>
            <w:tcBorders>
              <w:left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5</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“高校辅导员年度人物”推选展示活动</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国A</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教育部</w:t>
            </w:r>
          </w:p>
        </w:tc>
        <w:tc>
          <w:tcPr>
            <w:tcW w:w="2432" w:type="dxa"/>
            <w:vMerge w:val="continue"/>
            <w:tcBorders>
              <w:left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全国高校混合式教学创新大赛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国</w:t>
            </w:r>
            <w:r>
              <w:rPr>
                <w:rFonts w:hint="eastAsia" w:ascii="仿宋" w:hAnsi="仿宋" w:eastAsia="仿宋" w:cs="仿宋"/>
                <w:color w:val="000000"/>
                <w:sz w:val="24"/>
                <w:szCs w:val="24"/>
                <w:lang w:val="en-US" w:eastAsia="zh-CN"/>
              </w:rPr>
              <w:t>A</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default" w:ascii="仿宋" w:hAnsi="仿宋" w:eastAsia="仿宋" w:cs="仿宋"/>
                <w:color w:val="000000"/>
                <w:sz w:val="24"/>
                <w:szCs w:val="24"/>
              </w:rPr>
              <w:t>高校教学发展网络（CHED）</w:t>
            </w:r>
          </w:p>
        </w:tc>
        <w:tc>
          <w:tcPr>
            <w:tcW w:w="2432" w:type="dxa"/>
            <w:vMerge w:val="continue"/>
            <w:tcBorders>
              <w:left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“外教社杯”全国高校外语教学大赛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国A</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教育部高等学校外国语言文学类专业教学指导委员会、教育部高等学校大学外语教学指导委员会、教育部职业院校外语类专业教学指导委员会、上海外语教育出版社</w:t>
            </w:r>
          </w:p>
        </w:tc>
        <w:tc>
          <w:tcPr>
            <w:tcW w:w="2432" w:type="dxa"/>
            <w:vMerge w:val="continue"/>
            <w:tcBorders>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全国高等学校自制实验教学仪器设备评选活动</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国A</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中国高等教育学会</w:t>
            </w:r>
          </w:p>
        </w:tc>
        <w:tc>
          <w:tcPr>
            <w:tcW w:w="2432" w:type="dxa"/>
            <w:vMerge w:val="restart"/>
            <w:tcBorders>
              <w:top w:val="single" w:color="000000" w:sz="4" w:space="0"/>
              <w:left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全国普通高校教师教学竞赛状态数据统计的项目</w:t>
            </w:r>
            <w:r>
              <w:rPr>
                <w:rFonts w:hint="eastAsia" w:ascii="仿宋" w:hAnsi="仿宋" w:eastAsia="仿宋" w:cs="仿宋"/>
                <w:color w:val="000000"/>
                <w:sz w:val="24"/>
                <w:szCs w:val="24"/>
                <w:lang w:val="en-US" w:eastAsia="zh-CN"/>
              </w:rPr>
              <w:t>(2022版）</w:t>
            </w: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9</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全国高等学校物理基础课程（含实验课）青年教师讲课比赛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国A</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教育部高等学校大学物理课程教学指导委员会、教育部高等学校物理学专业教学指导委员会</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中国物理学会物理教学委员会</w:t>
            </w:r>
          </w:p>
        </w:tc>
        <w:tc>
          <w:tcPr>
            <w:tcW w:w="2432" w:type="dxa"/>
            <w:vMerge w:val="continue"/>
            <w:tcBorders>
              <w:left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10</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全国基础力学青年教师讲课比赛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国A</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教育部高等学校力学基础课程教学指导分委员会</w:t>
            </w:r>
          </w:p>
        </w:tc>
        <w:tc>
          <w:tcPr>
            <w:tcW w:w="2432" w:type="dxa"/>
            <w:vMerge w:val="continue"/>
            <w:tcBorders>
              <w:left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11</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全国高等学校结构力学及弹性力学青年教师讲课竞赛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国</w:t>
            </w:r>
            <w:r>
              <w:rPr>
                <w:rFonts w:hint="eastAsia" w:ascii="仿宋" w:hAnsi="仿宋" w:eastAsia="仿宋" w:cs="仿宋"/>
                <w:color w:val="000000"/>
                <w:sz w:val="24"/>
                <w:szCs w:val="24"/>
                <w:lang w:val="en-US" w:eastAsia="zh-CN"/>
              </w:rPr>
              <w:t>A</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教育部高等学校力学基础课程教学指导分委员会</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结构力学与弹性力学课程教学指导小组</w:t>
            </w:r>
          </w:p>
        </w:tc>
        <w:tc>
          <w:tcPr>
            <w:tcW w:w="2432" w:type="dxa"/>
            <w:vMerge w:val="continue"/>
            <w:tcBorders>
              <w:left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12</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全国高等学校电子信息类专业青年教师授课竞赛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国A</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教育部高等学校电子信息类专业教学指导委员会、工业和信息化部教育与考试中心</w:t>
            </w:r>
          </w:p>
        </w:tc>
        <w:tc>
          <w:tcPr>
            <w:tcW w:w="2432" w:type="dxa"/>
            <w:vMerge w:val="continue"/>
            <w:tcBorders>
              <w:left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13</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全国高等学校青年教师电工学课程教学竞赛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国A</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教育部电工电子基础课程教学指导委员会、中国高等学校电工学</w:t>
            </w:r>
          </w:p>
        </w:tc>
        <w:tc>
          <w:tcPr>
            <w:tcW w:w="2432" w:type="dxa"/>
            <w:vMerge w:val="continue"/>
            <w:tcBorders>
              <w:left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en-US" w:bidi="ar-SA"/>
              </w:rPr>
            </w:pPr>
            <w:r>
              <w:rPr>
                <w:rFonts w:hint="eastAsia" w:ascii="仿宋" w:hAnsi="仿宋" w:eastAsia="仿宋" w:cs="仿宋"/>
                <w:color w:val="000000"/>
                <w:sz w:val="24"/>
                <w:szCs w:val="24"/>
                <w:lang w:eastAsia="zh-CN"/>
              </w:rPr>
              <w:t>14</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全国高校自动化类专业青年教师讲课（说课）大赛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国A</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教育部高等学校自动化类专业教学指导委员会</w:t>
            </w:r>
          </w:p>
        </w:tc>
        <w:tc>
          <w:tcPr>
            <w:tcW w:w="2432" w:type="dxa"/>
            <w:vMerge w:val="continue"/>
            <w:tcBorders>
              <w:left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15</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西浦全国大学教学创新大赛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国B</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西交利物浦大学领导与教育前沿研究院(ILEAD)</w:t>
            </w:r>
          </w:p>
        </w:tc>
        <w:tc>
          <w:tcPr>
            <w:tcW w:w="2432" w:type="dxa"/>
            <w:vMerge w:val="continue"/>
            <w:tcBorders>
              <w:left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16</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全国高校自动化专业青年教师实验设备设计“创客大赛”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国</w:t>
            </w:r>
            <w:r>
              <w:rPr>
                <w:rFonts w:hint="eastAsia" w:ascii="仿宋" w:hAnsi="仿宋" w:eastAsia="仿宋" w:cs="仿宋"/>
                <w:color w:val="000000"/>
                <w:sz w:val="24"/>
                <w:szCs w:val="24"/>
                <w:lang w:val="en-US" w:eastAsia="zh-CN"/>
              </w:rPr>
              <w:t>B</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教育部高等学校自动化类专业教学指导委员会</w:t>
            </w:r>
          </w:p>
        </w:tc>
        <w:tc>
          <w:tcPr>
            <w:tcW w:w="2432" w:type="dxa"/>
            <w:vMerge w:val="continue"/>
            <w:tcBorders>
              <w:left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17</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bidi="ar"/>
              </w:rPr>
              <w:t>全国高等学校教师图学与机械课程示范教学与创新教学法观摩竞赛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国</w:t>
            </w:r>
            <w:r>
              <w:rPr>
                <w:rFonts w:hint="eastAsia" w:ascii="仿宋" w:hAnsi="仿宋" w:eastAsia="仿宋" w:cs="仿宋"/>
                <w:color w:val="000000"/>
                <w:sz w:val="24"/>
                <w:szCs w:val="24"/>
                <w:lang w:val="en-US" w:eastAsia="zh-CN"/>
              </w:rPr>
              <w:t>B</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全国高等学校教师图学与机械课程示范教学与创新教学法观摩竞赛组委会</w:t>
            </w:r>
          </w:p>
        </w:tc>
        <w:tc>
          <w:tcPr>
            <w:tcW w:w="2432" w:type="dxa"/>
            <w:vMerge w:val="continue"/>
            <w:tcBorders>
              <w:left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en-US" w:bidi="ar-SA"/>
              </w:rPr>
            </w:pPr>
            <w:r>
              <w:rPr>
                <w:rFonts w:hint="eastAsia" w:ascii="仿宋" w:hAnsi="仿宋" w:eastAsia="仿宋" w:cs="仿宋"/>
                <w:color w:val="000000"/>
                <w:sz w:val="24"/>
                <w:szCs w:val="24"/>
                <w:lang w:eastAsia="zh-CN"/>
              </w:rPr>
              <w:t>18</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全国高等学校青年教师电子技术基础、电子线路课程授课竞赛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国</w:t>
            </w:r>
            <w:r>
              <w:rPr>
                <w:rFonts w:hint="eastAsia" w:ascii="仿宋" w:hAnsi="仿宋" w:eastAsia="仿宋" w:cs="仿宋"/>
                <w:color w:val="000000"/>
                <w:sz w:val="24"/>
                <w:szCs w:val="24"/>
                <w:lang w:val="en-US" w:eastAsia="zh-CN"/>
              </w:rPr>
              <w:t>B</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中国电子学会电子线路教学与产业专家委员会、教育部电子线路和电子技术课程群虚拟教研室、全国高等学校电子技术研究会</w:t>
            </w:r>
          </w:p>
        </w:tc>
        <w:tc>
          <w:tcPr>
            <w:tcW w:w="2432" w:type="dxa"/>
            <w:vMerge w:val="continue"/>
            <w:tcBorders>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19</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全国高校数学微课程教学设计竞赛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eastAsia="zh-CN"/>
              </w:rPr>
              <w:t>国</w:t>
            </w:r>
            <w:r>
              <w:rPr>
                <w:rFonts w:hint="eastAsia" w:ascii="仿宋" w:hAnsi="仿宋" w:eastAsia="仿宋" w:cs="仿宋"/>
                <w:color w:val="000000"/>
                <w:sz w:val="24"/>
                <w:szCs w:val="24"/>
                <w:lang w:val="en-US" w:eastAsia="zh-CN"/>
              </w:rPr>
              <w:t>B</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rPr>
              <w:t>教育部高等学校大学数学课程教学指</w:t>
            </w:r>
            <w:bookmarkStart w:id="0" w:name="_GoBack"/>
            <w:bookmarkEnd w:id="0"/>
            <w:r>
              <w:rPr>
                <w:rFonts w:hint="eastAsia" w:ascii="仿宋" w:hAnsi="仿宋" w:eastAsia="仿宋" w:cs="仿宋"/>
                <w:color w:val="000000"/>
                <w:sz w:val="24"/>
                <w:szCs w:val="24"/>
              </w:rPr>
              <w:t>导委员会</w:t>
            </w:r>
          </w:p>
        </w:tc>
        <w:tc>
          <w:tcPr>
            <w:tcW w:w="2432" w:type="dxa"/>
            <w:vMerge w:val="continue"/>
            <w:tcBorders>
              <w:left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sz w:val="24"/>
                <w:szCs w:val="24"/>
                <w:lang w:val="en-US" w:eastAsia="zh-CN"/>
              </w:rPr>
              <w:t>20</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全国高等院校英语教师教学基本功大赛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国</w:t>
            </w:r>
            <w:r>
              <w:rPr>
                <w:rFonts w:hint="eastAsia" w:ascii="仿宋" w:hAnsi="仿宋" w:eastAsia="仿宋" w:cs="仿宋"/>
                <w:color w:val="000000"/>
                <w:sz w:val="24"/>
                <w:szCs w:val="24"/>
                <w:lang w:val="en-US" w:eastAsia="zh-CN"/>
              </w:rPr>
              <w:t>B</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高等学校大学外语教学研究会、全国高等师范院校外语教学与研究协作组</w:t>
            </w:r>
          </w:p>
        </w:tc>
        <w:tc>
          <w:tcPr>
            <w:tcW w:w="2432" w:type="dxa"/>
            <w:vMerge w:val="continue"/>
            <w:tcBorders>
              <w:left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21</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全国高等学校青年教师电路、信号与系统、电磁场课程教学竞赛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国B</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高等学校电路和信号系统教材研究会、高等学校电磁场教学与教材研究会</w:t>
            </w:r>
          </w:p>
        </w:tc>
        <w:tc>
          <w:tcPr>
            <w:tcW w:w="2432" w:type="dxa"/>
            <w:vMerge w:val="continue"/>
            <w:tcBorders>
              <w:left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22</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外研社“教学之星”大赛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国B</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北京外国语大学中国外语与教育研究中心、北京外国语大学中国外语教材研究中心、全国基础外语教育研究培训中心多语种教育发展分中心和外语教学与研究出版社</w:t>
            </w:r>
          </w:p>
        </w:tc>
        <w:tc>
          <w:tcPr>
            <w:tcW w:w="2432" w:type="dxa"/>
            <w:vMerge w:val="restart"/>
            <w:tcBorders>
              <w:top w:val="single" w:color="000000" w:sz="4" w:space="0"/>
              <w:left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全国普通高校教师教学竞赛状态数据统计的项目</w:t>
            </w:r>
            <w:r>
              <w:rPr>
                <w:rFonts w:hint="eastAsia" w:ascii="仿宋" w:hAnsi="仿宋" w:eastAsia="仿宋" w:cs="仿宋"/>
                <w:color w:val="000000"/>
                <w:sz w:val="24"/>
                <w:szCs w:val="24"/>
                <w:lang w:val="en-US" w:eastAsia="zh-CN"/>
              </w:rPr>
              <w:t>(2022版）</w:t>
            </w: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23</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全国电工电子基础课程实验教学案例设计竞赛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国B</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中国电子学会、国家级实验教学示范中心联席会电子学科组</w:t>
            </w:r>
          </w:p>
        </w:tc>
        <w:tc>
          <w:tcPr>
            <w:tcW w:w="2432" w:type="dxa"/>
            <w:vMerge w:val="continue"/>
            <w:tcBorders>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24</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全省本科高校青年教师教学竞赛暨全国本科高校青年教师教学竞赛选拔赛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省A+</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江苏省总工会、江苏省人社厅、江苏省教育厅、江苏团省委</w:t>
            </w:r>
          </w:p>
        </w:tc>
        <w:tc>
          <w:tcPr>
            <w:tcW w:w="2432" w:type="dxa"/>
            <w:vMerge w:val="restart"/>
            <w:tcBorders>
              <w:top w:val="single" w:color="000000" w:sz="4" w:space="0"/>
              <w:left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2023年全省普通高校教师教学竞赛省级赛事认定结果</w:t>
            </w: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25</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全国高校教师教学创新大赛(江苏省赛)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省A+</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中国高等教育学会、江苏省高等教育学会、有关本科高校</w:t>
            </w:r>
          </w:p>
        </w:tc>
        <w:tc>
          <w:tcPr>
            <w:tcW w:w="2432" w:type="dxa"/>
            <w:vMerge w:val="continue"/>
            <w:tcBorders>
              <w:left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26</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江苏省高校就业创业指导教师教学技能大赛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省A</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江苏省教育厅、江苏省高校招生就业指导服务中心</w:t>
            </w:r>
          </w:p>
        </w:tc>
        <w:tc>
          <w:tcPr>
            <w:tcW w:w="2432" w:type="dxa"/>
            <w:vMerge w:val="continue"/>
            <w:tcBorders>
              <w:left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27</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江苏省高校微课教学比赛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省A</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江苏省高等学校教育信息化研究会</w:t>
            </w:r>
          </w:p>
        </w:tc>
        <w:tc>
          <w:tcPr>
            <w:tcW w:w="2432" w:type="dxa"/>
            <w:vMerge w:val="continue"/>
            <w:tcBorders>
              <w:left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28</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江苏省高校体育教师微课比赛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省A</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江苏省教育厅</w:t>
            </w:r>
          </w:p>
        </w:tc>
        <w:tc>
          <w:tcPr>
            <w:tcW w:w="2432" w:type="dxa"/>
            <w:vMerge w:val="continue"/>
            <w:tcBorders>
              <w:left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29</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江苏高校辅导员素质能力大赛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省A</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江苏省委教育工委、省教育厅</w:t>
            </w:r>
          </w:p>
        </w:tc>
        <w:tc>
          <w:tcPr>
            <w:tcW w:w="2432" w:type="dxa"/>
            <w:vMerge w:val="continue"/>
            <w:tcBorders>
              <w:left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30</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江苏高校外国留学生教学观摩比赛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省A</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江苏省高等教育学会外国留学生教育管理研究委员会</w:t>
            </w:r>
          </w:p>
        </w:tc>
        <w:tc>
          <w:tcPr>
            <w:tcW w:w="2432" w:type="dxa"/>
            <w:vMerge w:val="continue"/>
            <w:tcBorders>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31</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江苏省高校基础物理教师上好一堂课竞赛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省</w:t>
            </w:r>
            <w:r>
              <w:rPr>
                <w:rFonts w:hint="eastAsia" w:ascii="仿宋" w:hAnsi="仿宋" w:eastAsia="仿宋" w:cs="仿宋"/>
                <w:color w:val="000000"/>
                <w:sz w:val="24"/>
                <w:szCs w:val="24"/>
                <w:lang w:val="en-US" w:eastAsia="zh-CN"/>
              </w:rPr>
              <w:t>B</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江苏省物理学会</w:t>
            </w:r>
          </w:p>
        </w:tc>
        <w:tc>
          <w:tcPr>
            <w:tcW w:w="2432" w:type="dxa"/>
            <w:vMerge w:val="restart"/>
            <w:tcBorders>
              <w:top w:val="single" w:color="000000" w:sz="4" w:space="0"/>
              <w:left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2023年全省普通高校教师教学竞赛省级赛事认定结果</w:t>
            </w: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32</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“外教社杯”全国高校外语教学大赛江苏省赛区比赛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省</w:t>
            </w:r>
            <w:r>
              <w:rPr>
                <w:rFonts w:hint="eastAsia" w:ascii="仿宋" w:hAnsi="仿宋" w:eastAsia="仿宋" w:cs="仿宋"/>
                <w:color w:val="000000"/>
                <w:sz w:val="24"/>
                <w:szCs w:val="24"/>
                <w:lang w:val="en-US" w:eastAsia="zh-CN"/>
              </w:rPr>
              <w:t>B</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江苏省高等学校外国语教学研究会、上海外语教育出版社</w:t>
            </w:r>
          </w:p>
        </w:tc>
        <w:tc>
          <w:tcPr>
            <w:tcW w:w="2432" w:type="dxa"/>
            <w:vMerge w:val="continue"/>
            <w:tcBorders>
              <w:left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33</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江苏省高校数学基础课青年教师授课竞赛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省</w:t>
            </w:r>
            <w:r>
              <w:rPr>
                <w:rFonts w:hint="eastAsia" w:ascii="仿宋" w:hAnsi="仿宋" w:eastAsia="仿宋" w:cs="仿宋"/>
                <w:color w:val="000000"/>
                <w:sz w:val="24"/>
                <w:szCs w:val="24"/>
                <w:lang w:val="en-US" w:eastAsia="zh-CN"/>
              </w:rPr>
              <w:t>B</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江苏省高等学校数学教学研究会</w:t>
            </w:r>
          </w:p>
        </w:tc>
        <w:tc>
          <w:tcPr>
            <w:tcW w:w="2432" w:type="dxa"/>
            <w:vMerge w:val="continue"/>
            <w:tcBorders>
              <w:left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34</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江苏省高校土木工程专业青年教师讲课竞赛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省</w:t>
            </w:r>
            <w:r>
              <w:rPr>
                <w:rFonts w:hint="eastAsia" w:ascii="仿宋" w:hAnsi="仿宋" w:eastAsia="仿宋" w:cs="仿宋"/>
                <w:color w:val="000000"/>
                <w:sz w:val="24"/>
                <w:szCs w:val="24"/>
                <w:lang w:val="en-US" w:eastAsia="zh-CN"/>
              </w:rPr>
              <w:t>B</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江苏省土木建筑学会、江苏省土木建筑学会教育工作委员会</w:t>
            </w:r>
          </w:p>
        </w:tc>
        <w:tc>
          <w:tcPr>
            <w:tcW w:w="2432" w:type="dxa"/>
            <w:vMerge w:val="continue"/>
            <w:tcBorders>
              <w:left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35</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江苏省工科基础力学青年教师讲课竞赛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省</w:t>
            </w:r>
            <w:r>
              <w:rPr>
                <w:rFonts w:hint="eastAsia" w:ascii="仿宋" w:hAnsi="仿宋" w:eastAsia="仿宋" w:cs="仿宋"/>
                <w:color w:val="000000"/>
                <w:sz w:val="24"/>
                <w:szCs w:val="24"/>
                <w:lang w:val="en-US" w:eastAsia="zh-CN"/>
              </w:rPr>
              <w:t>B</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江苏省工科基础力学青年教师讲课竞赛组委会、江苏省力学学会、江苏省高等学校力学土建类教学指导委员会</w:t>
            </w:r>
          </w:p>
        </w:tc>
        <w:tc>
          <w:tcPr>
            <w:tcW w:w="2432" w:type="dxa"/>
            <w:vMerge w:val="continue"/>
            <w:tcBorders>
              <w:left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eastAsia="zh-CN"/>
              </w:rPr>
            </w:pP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36</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江苏省工程管理专业青年教师讲课竞赛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省</w:t>
            </w:r>
            <w:r>
              <w:rPr>
                <w:rFonts w:hint="eastAsia" w:ascii="仿宋" w:hAnsi="仿宋" w:eastAsia="仿宋" w:cs="仿宋"/>
                <w:color w:val="000000"/>
                <w:sz w:val="24"/>
                <w:szCs w:val="24"/>
                <w:lang w:val="en-US" w:eastAsia="zh-CN"/>
              </w:rPr>
              <w:t>B</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en-US"/>
              </w:rPr>
            </w:pPr>
            <w:r>
              <w:rPr>
                <w:rFonts w:hint="eastAsia" w:ascii="仿宋" w:hAnsi="仿宋" w:eastAsia="仿宋" w:cs="仿宋"/>
                <w:color w:val="000000"/>
                <w:sz w:val="24"/>
                <w:szCs w:val="24"/>
                <w:lang w:eastAsia="zh-CN"/>
              </w:rPr>
              <w:t>江苏省土木建筑学会</w:t>
            </w:r>
          </w:p>
        </w:tc>
        <w:tc>
          <w:tcPr>
            <w:tcW w:w="2432" w:type="dxa"/>
            <w:vMerge w:val="continue"/>
            <w:tcBorders>
              <w:left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37</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“高教社杯”全国高等学校外语课程思政教学比赛江苏赛区比赛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省B</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江苏省高等学校外国语教学研究会、高等教育出版社</w:t>
            </w:r>
          </w:p>
        </w:tc>
        <w:tc>
          <w:tcPr>
            <w:tcW w:w="2432" w:type="dxa"/>
            <w:vMerge w:val="continue"/>
            <w:tcBorders>
              <w:left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78" w:hRule="atLeast"/>
          <w:tblHeader/>
          <w:jc w:val="center"/>
        </w:trPr>
        <w:tc>
          <w:tcPr>
            <w:tcW w:w="64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38</w:t>
            </w:r>
          </w:p>
        </w:tc>
        <w:tc>
          <w:tcPr>
            <w:tcW w:w="4422"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全国高校英语教师“教学之星”大赛江苏赛区比赛</w:t>
            </w:r>
          </w:p>
        </w:tc>
        <w:tc>
          <w:tcPr>
            <w:tcW w:w="1100"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省B</w:t>
            </w:r>
          </w:p>
        </w:tc>
        <w:tc>
          <w:tcPr>
            <w:tcW w:w="4078"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外语教学与研究出版社</w:t>
            </w:r>
          </w:p>
        </w:tc>
        <w:tc>
          <w:tcPr>
            <w:tcW w:w="2432" w:type="dxa"/>
            <w:vMerge w:val="continue"/>
            <w:tcBorders>
              <w:left w:val="single" w:color="000000" w:sz="4" w:space="0"/>
              <w:bottom w:val="single" w:color="000000" w:sz="4" w:space="0"/>
              <w:right w:val="single" w:color="000000" w:sz="4" w:space="0"/>
            </w:tcBorders>
            <w:vAlign w:val="center"/>
          </w:tcPr>
          <w:p>
            <w:pPr>
              <w:spacing w:line="400" w:lineRule="exact"/>
              <w:jc w:val="center"/>
              <w:textAlignment w:val="center"/>
              <w:rPr>
                <w:rFonts w:hint="eastAsia" w:ascii="仿宋" w:hAnsi="仿宋" w:eastAsia="仿宋" w:cs="仿宋"/>
                <w:color w:val="000000"/>
                <w:sz w:val="24"/>
                <w:szCs w:val="24"/>
              </w:rPr>
            </w:pPr>
          </w:p>
        </w:tc>
      </w:tr>
    </w:tbl>
    <w:p>
      <w:pPr>
        <w:adjustRightInd w:val="0"/>
        <w:snapToGrid w:val="0"/>
        <w:spacing w:line="440" w:lineRule="exact"/>
        <w:ind w:firstLine="420"/>
        <w:rPr>
          <w:rFonts w:eastAsia="仿宋_GB2312"/>
          <w:bCs/>
          <w:spacing w:val="-3"/>
          <w:sz w:val="30"/>
          <w:szCs w:val="30"/>
          <w:lang w:eastAsia="zh-CN"/>
        </w:rPr>
      </w:pPr>
      <w:r>
        <w:rPr>
          <w:rFonts w:hint="eastAsia" w:asciiTheme="minorEastAsia" w:hAnsiTheme="minorEastAsia"/>
          <w:lang w:eastAsia="zh-CN"/>
        </w:rPr>
        <w:t>备注：1</w:t>
      </w:r>
      <w:r>
        <w:rPr>
          <w:rFonts w:asciiTheme="minorEastAsia" w:hAnsiTheme="minorEastAsia"/>
          <w:lang w:eastAsia="zh-CN"/>
        </w:rPr>
        <w:t>.</w:t>
      </w:r>
      <w:r>
        <w:rPr>
          <w:rFonts w:hint="eastAsia" w:cs="宋体" w:asciiTheme="minorEastAsia" w:hAnsiTheme="minorEastAsia"/>
          <w:color w:val="000000"/>
          <w:lang w:eastAsia="zh-CN"/>
        </w:rPr>
        <w:t>未列入此名单</w:t>
      </w:r>
      <w:r>
        <w:rPr>
          <w:rFonts w:hint="eastAsia" w:cs="宋体" w:asciiTheme="minorEastAsia" w:hAnsiTheme="minorEastAsia"/>
          <w:color w:val="000000"/>
          <w:lang w:val="en-US" w:eastAsia="zh-CN"/>
        </w:rPr>
        <w:t>的省级及以上教学竞赛项目，可由学院提交</w:t>
      </w:r>
      <w:r>
        <w:rPr>
          <w:rFonts w:hint="eastAsia" w:cs="宋体" w:asciiTheme="minorEastAsia" w:hAnsiTheme="minorEastAsia"/>
          <w:color w:val="000000"/>
          <w:lang w:eastAsia="zh-CN"/>
        </w:rPr>
        <w:t>竞赛</w:t>
      </w:r>
      <w:r>
        <w:rPr>
          <w:rFonts w:hint="eastAsia" w:cs="宋体" w:asciiTheme="minorEastAsia" w:hAnsiTheme="minorEastAsia"/>
          <w:color w:val="000000"/>
          <w:lang w:val="en-US" w:eastAsia="zh-CN"/>
        </w:rPr>
        <w:t>认定申请表，由校</w:t>
      </w:r>
      <w:r>
        <w:rPr>
          <w:rFonts w:hint="eastAsia" w:cs="宋体" w:asciiTheme="minorEastAsia" w:hAnsiTheme="minorEastAsia"/>
          <w:color w:val="000000"/>
          <w:lang w:eastAsia="zh-CN"/>
        </w:rPr>
        <w:t>竞赛工作小组</w:t>
      </w:r>
      <w:r>
        <w:rPr>
          <w:rFonts w:hint="eastAsia" w:cs="宋体" w:asciiTheme="minorEastAsia" w:hAnsiTheme="minorEastAsia"/>
          <w:color w:val="000000"/>
          <w:lang w:val="en-US" w:eastAsia="zh-CN"/>
        </w:rPr>
        <w:t>负责组织认定</w:t>
      </w:r>
      <w:r>
        <w:rPr>
          <w:rFonts w:hint="eastAsia" w:cs="宋体" w:asciiTheme="minorEastAsia" w:hAnsiTheme="minorEastAsia"/>
          <w:color w:val="000000"/>
          <w:lang w:eastAsia="zh-CN"/>
        </w:rPr>
        <w:t>。</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iMmMyZjZkMmEzY2U2YmRhM2Y1MmQyOWZmNDkyOTkifQ=="/>
  </w:docVars>
  <w:rsids>
    <w:rsidRoot w:val="44702030"/>
    <w:rsid w:val="38803FED"/>
    <w:rsid w:val="44702030"/>
    <w:rsid w:val="4C342E51"/>
    <w:rsid w:val="4C6C0271"/>
    <w:rsid w:val="64553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kern w:val="0"/>
      <w:sz w:val="24"/>
      <w:szCs w:val="24"/>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2023-09-14T01:50:00Z</dcterms:created>
  <dc:creator>YY</dc:creator>
  <cp:lastModifiedBy>YY</cp:lastModifiedBy>
  <dcterms:modified xsi:type="dcterms:W3CDTF">2023-12-04T13:56:40Z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E03AFA64226D4773924E4F0FED3BB479_11</vt:lpwstr>
  </property>
</Properties>
</file>